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FEEC" w14:textId="39E920E0" w:rsidR="00F47E77" w:rsidRDefault="00F47E77" w:rsidP="00E22BF5">
      <w:pPr>
        <w:rPr>
          <w:rFonts w:cs="Arial"/>
          <w:szCs w:val="20"/>
        </w:rPr>
      </w:pPr>
    </w:p>
    <w:p w14:paraId="72E9F4E8" w14:textId="6AB19B9E" w:rsidR="00765D75" w:rsidRPr="00E22BF5" w:rsidRDefault="00E22BF5" w:rsidP="00E22BF5">
      <w:pPr>
        <w:jc w:val="center"/>
        <w:rPr>
          <w:b/>
          <w:bCs/>
          <w:color w:val="000000" w:themeColor="text1"/>
          <w:sz w:val="36"/>
          <w:szCs w:val="36"/>
        </w:rPr>
      </w:pPr>
      <w:r>
        <w:rPr>
          <w:b/>
          <w:bCs/>
          <w:color w:val="000000" w:themeColor="text1"/>
          <w:sz w:val="36"/>
          <w:szCs w:val="36"/>
        </w:rPr>
        <w:t>Samenwerkingsconvenant</w:t>
      </w:r>
      <w:r>
        <w:rPr>
          <w:b/>
          <w:bCs/>
          <w:color w:val="000000" w:themeColor="text1"/>
          <w:sz w:val="36"/>
          <w:szCs w:val="36"/>
        </w:rPr>
        <w:br/>
      </w:r>
    </w:p>
    <w:p w14:paraId="14656E1B" w14:textId="29EAA9B5" w:rsidR="00765D75" w:rsidRPr="00E22BF5" w:rsidRDefault="00765D75" w:rsidP="00E22BF5">
      <w:pPr>
        <w:jc w:val="center"/>
        <w:rPr>
          <w:b/>
          <w:bCs/>
          <w:color w:val="000000" w:themeColor="text1"/>
          <w:sz w:val="32"/>
          <w:szCs w:val="32"/>
        </w:rPr>
      </w:pPr>
      <w:r w:rsidRPr="00E22BF5">
        <w:rPr>
          <w:b/>
          <w:bCs/>
          <w:color w:val="000000" w:themeColor="text1"/>
          <w:sz w:val="32"/>
          <w:szCs w:val="32"/>
        </w:rPr>
        <w:t>‘A</w:t>
      </w:r>
      <w:r w:rsidR="00E22BF5" w:rsidRPr="00E22BF5">
        <w:rPr>
          <w:b/>
          <w:bCs/>
          <w:color w:val="000000" w:themeColor="text1"/>
          <w:sz w:val="32"/>
          <w:szCs w:val="32"/>
        </w:rPr>
        <w:t>fvalbeheerbijdrage voor de recycling van matrassen</w:t>
      </w:r>
      <w:r w:rsidRPr="00E22BF5">
        <w:rPr>
          <w:b/>
          <w:bCs/>
          <w:color w:val="000000" w:themeColor="text1"/>
          <w:sz w:val="32"/>
          <w:szCs w:val="32"/>
        </w:rPr>
        <w:t>’</w:t>
      </w:r>
    </w:p>
    <w:p w14:paraId="123DC52C" w14:textId="77777777" w:rsidR="00765D75" w:rsidRDefault="00765D75" w:rsidP="00E22BF5"/>
    <w:p w14:paraId="66C1E7C6" w14:textId="13CEAE7F" w:rsidR="00765D75" w:rsidRDefault="00765D75" w:rsidP="00E22BF5">
      <w:pPr>
        <w:pStyle w:val="Lijstalinea"/>
        <w:numPr>
          <w:ilvl w:val="0"/>
          <w:numId w:val="13"/>
        </w:numPr>
        <w:tabs>
          <w:tab w:val="clear" w:pos="357"/>
          <w:tab w:val="clear" w:pos="567"/>
          <w:tab w:val="clear" w:pos="851"/>
          <w:tab w:val="clear" w:pos="1134"/>
        </w:tabs>
        <w:ind w:left="426" w:hanging="426"/>
        <w:rPr>
          <w:b/>
          <w:bCs/>
          <w:color w:val="000000" w:themeColor="text1"/>
        </w:rPr>
      </w:pPr>
      <w:r w:rsidRPr="00E22BF5">
        <w:rPr>
          <w:b/>
          <w:bCs/>
          <w:color w:val="000000" w:themeColor="text1"/>
        </w:rPr>
        <w:t>Partijen</w:t>
      </w:r>
    </w:p>
    <w:p w14:paraId="7B08F308" w14:textId="77777777" w:rsidR="00E22BF5" w:rsidRPr="00E22BF5" w:rsidRDefault="00E22BF5" w:rsidP="00E22BF5">
      <w:pPr>
        <w:pStyle w:val="Lijstalinea"/>
        <w:numPr>
          <w:ilvl w:val="0"/>
          <w:numId w:val="0"/>
        </w:numPr>
        <w:tabs>
          <w:tab w:val="clear" w:pos="357"/>
          <w:tab w:val="clear" w:pos="567"/>
          <w:tab w:val="clear" w:pos="851"/>
          <w:tab w:val="clear" w:pos="1134"/>
        </w:tabs>
        <w:ind w:left="426"/>
        <w:rPr>
          <w:b/>
          <w:bCs/>
          <w:color w:val="000000" w:themeColor="text1"/>
        </w:rPr>
      </w:pPr>
    </w:p>
    <w:p w14:paraId="37E57903" w14:textId="17ADB895" w:rsidR="00765D75" w:rsidRDefault="00765D75" w:rsidP="00E22BF5">
      <w:r>
        <w:t xml:space="preserve">Stichting Matras Recycling Nederland, </w:t>
      </w:r>
      <w:bookmarkStart w:id="0" w:name="_Hlk91149266"/>
      <w:r>
        <w:t xml:space="preserve">statutair gevestigd te (2012 JM) Haarlem en aldaar kantoorhoudende aan Westerhoutpark 10, hierna te noemen: </w:t>
      </w:r>
      <w:bookmarkEnd w:id="0"/>
      <w:r>
        <w:t xml:space="preserve">‘Stichting MRN’ – vertegenwoordigd door </w:t>
      </w:r>
      <w:r w:rsidR="00E22BF5">
        <w:t>Alberic Pater, voorzitter Stichting MRN</w:t>
      </w:r>
    </w:p>
    <w:p w14:paraId="79603902" w14:textId="77777777" w:rsidR="00765D75" w:rsidRDefault="00765D75" w:rsidP="00E22BF5">
      <w:r>
        <w:t>en</w:t>
      </w:r>
    </w:p>
    <w:p w14:paraId="7B780885" w14:textId="4D3B67E7" w:rsidR="00765D75" w:rsidRDefault="002D14BF" w:rsidP="00E22BF5">
      <w:r>
        <w:t>[</w:t>
      </w:r>
      <w:r w:rsidR="00765D75">
        <w:t>bedrijfsnaam</w:t>
      </w:r>
      <w:r>
        <w:t>]</w:t>
      </w:r>
      <w:r w:rsidR="00765D75">
        <w:t xml:space="preserve"> statutair gevestigd te </w:t>
      </w:r>
      <w:r>
        <w:t>[</w:t>
      </w:r>
      <w:r w:rsidR="00765D75">
        <w:t>….</w:t>
      </w:r>
      <w:r>
        <w:t>]</w:t>
      </w:r>
      <w:r w:rsidR="00765D75">
        <w:t xml:space="preserve"> ………… en aldaar kantoorhoudende aan (straat), hierna te noemen:………………. – vertegenwoordigd door … </w:t>
      </w:r>
      <w:r>
        <w:t>[</w:t>
      </w:r>
      <w:r w:rsidR="00765D75">
        <w:t>naam en functie</w:t>
      </w:r>
      <w:r>
        <w:t>]</w:t>
      </w:r>
    </w:p>
    <w:p w14:paraId="46EBCDD4" w14:textId="77777777" w:rsidR="00765D75" w:rsidRDefault="00765D75" w:rsidP="00E22BF5"/>
    <w:p w14:paraId="5F440D10" w14:textId="77777777" w:rsidR="00765D75" w:rsidRDefault="00765D75" w:rsidP="00E22BF5">
      <w:r>
        <w:t>Komen als volgt overeen:</w:t>
      </w:r>
    </w:p>
    <w:p w14:paraId="50B610DA" w14:textId="21608341" w:rsidR="00765D75" w:rsidRDefault="00765D75" w:rsidP="00E22BF5"/>
    <w:p w14:paraId="0E980625" w14:textId="77777777" w:rsidR="00E22BF5" w:rsidRDefault="00E22BF5" w:rsidP="00E22BF5"/>
    <w:p w14:paraId="73B16691" w14:textId="77777777" w:rsidR="00765D75" w:rsidRPr="00E22BF5" w:rsidRDefault="00765D75" w:rsidP="00E22BF5">
      <w:pPr>
        <w:rPr>
          <w:b/>
          <w:bCs/>
          <w:color w:val="000000" w:themeColor="text1"/>
        </w:rPr>
      </w:pPr>
      <w:r w:rsidRPr="00E22BF5">
        <w:rPr>
          <w:b/>
          <w:bCs/>
          <w:color w:val="000000" w:themeColor="text1"/>
        </w:rPr>
        <w:t xml:space="preserve">2.    Inleiding </w:t>
      </w:r>
    </w:p>
    <w:p w14:paraId="77B8ADAD" w14:textId="6DEC0867" w:rsidR="00765D75" w:rsidRDefault="00765D75" w:rsidP="00E22BF5">
      <w:r>
        <w:br/>
        <w:t xml:space="preserve">Stichting MRN wil een </w:t>
      </w:r>
      <w:r w:rsidRPr="00EC44A5">
        <w:t xml:space="preserve">bijdrage leveren aan de circulaire economie door onder andere het initiëren van een vrijwillige uitgebreide producentenverantwoordelijkheid voor matrassen, het voorzien in voldoende recyclingcapaciteit, innovatie ten behoeve van recyclingtechnologie en </w:t>
      </w:r>
      <w:r>
        <w:t>ECO-</w:t>
      </w:r>
      <w:r w:rsidRPr="00EC44A5">
        <w:t xml:space="preserve">design, en daarbij het bewustzijn van de consument te vergroten ten aanzien van </w:t>
      </w:r>
      <w:r>
        <w:t>het belang</w:t>
      </w:r>
      <w:r w:rsidRPr="00EC44A5">
        <w:t xml:space="preserve"> van en mogelijkheid tot het recyclen van matrassen</w:t>
      </w:r>
      <w:r>
        <w:t>.</w:t>
      </w:r>
    </w:p>
    <w:p w14:paraId="02EBC05C" w14:textId="303C796A" w:rsidR="00765D75" w:rsidRDefault="00765D75" w:rsidP="00E22BF5">
      <w:r>
        <w:t xml:space="preserve">Stichting MRN vertegenwoordigt de producenten </w:t>
      </w:r>
      <w:r w:rsidRPr="007853BC">
        <w:t>en importeurs van matrassen voor consumenten in Nederland</w:t>
      </w:r>
      <w:r>
        <w:t xml:space="preserve">. Stichting MRN heeft initiatief genomen </w:t>
      </w:r>
      <w:r w:rsidRPr="007853BC">
        <w:t xml:space="preserve">de verantwoordelijkheid voor het recyclen van matrassen in belangrijke mate </w:t>
      </w:r>
      <w:r>
        <w:t xml:space="preserve">te </w:t>
      </w:r>
      <w:r w:rsidRPr="007853BC">
        <w:t>willen verleggen van de overheid naar de matrasproducenten en/of -importeurs</w:t>
      </w:r>
      <w:r>
        <w:t xml:space="preserve"> van matrassen.</w:t>
      </w:r>
    </w:p>
    <w:p w14:paraId="79F91643" w14:textId="6D81F50A" w:rsidR="00765D75" w:rsidRDefault="00765D75" w:rsidP="00E22BF5">
      <w:r>
        <w:t>Stichting MRN</w:t>
      </w:r>
      <w:r w:rsidRPr="00356DE2">
        <w:t xml:space="preserve"> </w:t>
      </w:r>
      <w:r>
        <w:t xml:space="preserve">heeft </w:t>
      </w:r>
      <w:r w:rsidRPr="00356DE2">
        <w:t xml:space="preserve">de intentie een vrijwillige producentenverantwoordelijkheid te realiseren die als doelstelling heeft dat in 2028 75% </w:t>
      </w:r>
      <w:r>
        <w:t xml:space="preserve">van het totaal aantal </w:t>
      </w:r>
      <w:r w:rsidRPr="00356DE2">
        <w:t>van de voor de Nederlandse consumentenmarkt in de handel gebrachte matrassen gerecycled z</w:t>
      </w:r>
      <w:r>
        <w:t>ullen</w:t>
      </w:r>
      <w:r w:rsidRPr="00356DE2">
        <w:t xml:space="preserve"> worden</w:t>
      </w:r>
      <w:r w:rsidR="00E22BF5">
        <w:t xml:space="preserve">. </w:t>
      </w:r>
      <w:r>
        <w:t xml:space="preserve">Om dit te realiseren is een </w:t>
      </w:r>
      <w:r w:rsidRPr="00356DE2">
        <w:t xml:space="preserve">afvalbeheerbijdrage </w:t>
      </w:r>
      <w:r>
        <w:t>noodzakelijk voor producenten en importeurs van matrassen</w:t>
      </w:r>
      <w:r w:rsidRPr="00356DE2">
        <w:t xml:space="preserve"> per in de handel gebrachte matras voor consumenten</w:t>
      </w:r>
      <w:r>
        <w:t xml:space="preserve"> </w:t>
      </w:r>
      <w:r w:rsidRPr="00356DE2">
        <w:t>ter dekking van hun deel van de kosten van producentenverantwoordelijkheid</w:t>
      </w:r>
      <w:r>
        <w:t>.</w:t>
      </w:r>
    </w:p>
    <w:p w14:paraId="2DA26650" w14:textId="77777777" w:rsidR="00E22BF5" w:rsidRDefault="00E22BF5" w:rsidP="00E22BF5"/>
    <w:p w14:paraId="63D7F356" w14:textId="77777777" w:rsidR="00765D75" w:rsidRDefault="00765D75" w:rsidP="00E22BF5">
      <w:r>
        <w:t xml:space="preserve">Om bij te dragen aan de doelstellingen en om een gelijk speelveld te creëren heeft de Staatssecretaris van </w:t>
      </w:r>
      <w:r w:rsidRPr="00307C6B">
        <w:t xml:space="preserve">Infrastructuur en Waterstaat </w:t>
      </w:r>
      <w:r>
        <w:t xml:space="preserve"> de ‘Overeenkomst inzake de afvalbeheerbijdrage voor de recycling van matrassen’ (hierna te noemen ‘Overeenkomst’) vanaf </w:t>
      </w:r>
      <w:r w:rsidRPr="00307C6B">
        <w:t xml:space="preserve">1 </w:t>
      </w:r>
      <w:r>
        <w:t>januari</w:t>
      </w:r>
      <w:r w:rsidRPr="00307C6B">
        <w:t xml:space="preserve"> 202</w:t>
      </w:r>
      <w:r>
        <w:t>2</w:t>
      </w:r>
      <w:r w:rsidRPr="00307C6B">
        <w:t xml:space="preserve"> tot en met 31 oktober 2026 </w:t>
      </w:r>
      <w:r>
        <w:t xml:space="preserve"> algemeen verbindend verklaard voor producenten en importeurs van matrassen. </w:t>
      </w:r>
    </w:p>
    <w:p w14:paraId="6E9F12C4" w14:textId="77777777" w:rsidR="00765D75" w:rsidRDefault="00765D75" w:rsidP="00E22BF5">
      <w:r>
        <w:t>Eén algemeenverbindendverklaring van een ‘Overeenkomst’ door de Minister van Infrastructuur en Waterstaat brengt met zich mee dat aan de ‘Overeenkomst’ de status van formele wetgeving wordt gegeven. Hiermee worden de verplichtingen voortvloeiend uit de ‘Overeenkomst’ van toepassing op al diegenen die onder de werkingssfeer bepalingen van de overeenkomst vallen. In dit geval betekent dit dat de UPV verplicht wordt opgelegd aan alle producenten/importeurs van matrassen voor consumenten in Nederland.</w:t>
      </w:r>
    </w:p>
    <w:p w14:paraId="679FD1F3" w14:textId="4A3BD145" w:rsidR="00765D75" w:rsidRDefault="00765D75" w:rsidP="00E22BF5">
      <w:pPr>
        <w:rPr>
          <w:rStyle w:val="Hyperlink"/>
        </w:rPr>
      </w:pPr>
      <w:r>
        <w:t>Bijlage: ‘</w:t>
      </w:r>
      <w:r w:rsidRPr="005660B3">
        <w:t>Overeenkomst inzake de afvalbeheerbijdrage voor de recycling van matrassen’</w:t>
      </w:r>
      <w:r>
        <w:t>, zoals gepubliceerd in de Staatscourant nr. 49806 d.d. 17 december 2021. (</w:t>
      </w:r>
      <w:hyperlink r:id="rId8" w:history="1">
        <w:r w:rsidRPr="00861BA9">
          <w:rPr>
            <w:rStyle w:val="Hyperlink"/>
          </w:rPr>
          <w:t>https://mrn.nl/app/uploads/2021/12/AVV-Overeenkomst-Matrassen.pdf</w:t>
        </w:r>
      </w:hyperlink>
      <w:r>
        <w:rPr>
          <w:rStyle w:val="Hyperlink"/>
        </w:rPr>
        <w:t>)</w:t>
      </w:r>
    </w:p>
    <w:p w14:paraId="73D82578" w14:textId="462271E4" w:rsidR="00E22BF5" w:rsidRDefault="00E22BF5" w:rsidP="00E22BF5">
      <w:pPr>
        <w:rPr>
          <w:rStyle w:val="Hyperlink"/>
        </w:rPr>
      </w:pPr>
    </w:p>
    <w:p w14:paraId="32781710" w14:textId="77777777" w:rsidR="00E22BF5" w:rsidRDefault="00E22BF5" w:rsidP="00E22BF5"/>
    <w:p w14:paraId="79465514" w14:textId="77777777" w:rsidR="00765D75" w:rsidRDefault="00765D75" w:rsidP="00E22BF5"/>
    <w:p w14:paraId="1A3ADF7F" w14:textId="77777777" w:rsidR="00765D75" w:rsidRPr="00E22BF5" w:rsidRDefault="00765D75" w:rsidP="00E22BF5">
      <w:pPr>
        <w:rPr>
          <w:b/>
          <w:bCs/>
          <w:color w:val="000000" w:themeColor="text1"/>
        </w:rPr>
      </w:pPr>
      <w:r w:rsidRPr="00E22BF5">
        <w:rPr>
          <w:b/>
          <w:bCs/>
          <w:color w:val="000000" w:themeColor="text1"/>
        </w:rPr>
        <w:t xml:space="preserve">3.    ‘Overeenkomst inzake de afvalbeheerbijdrage voor de recycling van matrassen’ </w:t>
      </w:r>
    </w:p>
    <w:p w14:paraId="1DC1C242" w14:textId="336BD12F" w:rsidR="00765D75" w:rsidRDefault="00765D75" w:rsidP="00E22BF5">
      <w:r>
        <w:br/>
        <w:t>De ‘</w:t>
      </w:r>
      <w:bookmarkStart w:id="1" w:name="_Hlk91149469"/>
      <w:r w:rsidRPr="00C22C65">
        <w:t>Overeenkomst</w:t>
      </w:r>
      <w:r>
        <w:t>’</w:t>
      </w:r>
      <w:r w:rsidRPr="009B4D4D">
        <w:t xml:space="preserve"> </w:t>
      </w:r>
      <w:bookmarkEnd w:id="1"/>
      <w:r>
        <w:t xml:space="preserve">van het Ministerie van Infrastructuur en Waterstaat </w:t>
      </w:r>
      <w:r w:rsidRPr="00D33565">
        <w:t xml:space="preserve">vormt de </w:t>
      </w:r>
      <w:r>
        <w:t>juridische</w:t>
      </w:r>
      <w:r w:rsidRPr="00D33565">
        <w:t xml:space="preserve"> basis </w:t>
      </w:r>
      <w:r>
        <w:t>om een doelmatig en kostendekkend landelijk afvalbeheersysteem voor matrassen in Nederland op te zetten, in stand te houden en een verplichte afvalbeheerbijdrage te realiseren.</w:t>
      </w:r>
      <w:r w:rsidRPr="00220DFE">
        <w:t xml:space="preserve"> </w:t>
      </w:r>
      <w:r>
        <w:t>D</w:t>
      </w:r>
      <w:r w:rsidRPr="00220DFE">
        <w:t xml:space="preserve">e afvalbeheerbijdrage </w:t>
      </w:r>
      <w:r>
        <w:t xml:space="preserve">heeft </w:t>
      </w:r>
      <w:r w:rsidRPr="00220DFE">
        <w:t>betrekking op alle matrassen die in Nederland voor het eerst in de handel zijn gebracht</w:t>
      </w:r>
      <w:r>
        <w:t xml:space="preserve"> en</w:t>
      </w:r>
      <w:r w:rsidRPr="00220DFE">
        <w:t xml:space="preserve"> die bestemd zijn voor consumenten. De afvalbeheerbijdrage wordt geheven bij de producenten en/of importeurs.</w:t>
      </w:r>
    </w:p>
    <w:p w14:paraId="2D461F17" w14:textId="01574AB5" w:rsidR="00765D75" w:rsidRDefault="00765D75" w:rsidP="00E22BF5">
      <w:r w:rsidRPr="00452181">
        <w:t xml:space="preserve">Stichting </w:t>
      </w:r>
      <w:r>
        <w:t xml:space="preserve">MRN </w:t>
      </w:r>
      <w:r w:rsidRPr="00452181">
        <w:t xml:space="preserve">stelt </w:t>
      </w:r>
      <w:r>
        <w:t>jaarlijks een tarief v</w:t>
      </w:r>
      <w:r w:rsidRPr="00452181">
        <w:t xml:space="preserve">oor de afvalbeheerbijdrage vast, rekening houdend met </w:t>
      </w:r>
      <w:r>
        <w:t xml:space="preserve">de </w:t>
      </w:r>
      <w:r w:rsidRPr="00452181">
        <w:t xml:space="preserve"> kosten van het afvalbeheersysteem en het aantal matrassen  waarover afvalbeheerbijdrage wordt afgedragen in het betreffende jaar. De vaststelling van de afvalbeheerbijdrage per matras voor enig jaar zal uiterlijk in september van het voorafgaande jaar plaatsvinden om producenten en/of importeurs van matrassen voldoende tijd te geven deze in hun systemen en prijsstelling voor dat jaar te verwerken. De afvalbeheerbijdrage voor </w:t>
      </w:r>
      <w:r>
        <w:t>2022 is vastgesteld op</w:t>
      </w:r>
      <w:r w:rsidR="00A649A0">
        <w:t xml:space="preserve"> €</w:t>
      </w:r>
      <w:r>
        <w:t xml:space="preserve"> 2,60 </w:t>
      </w:r>
      <w:r w:rsidRPr="00452181">
        <w:t>exclusief BTW per matras</w:t>
      </w:r>
      <w:r>
        <w:t>.</w:t>
      </w:r>
    </w:p>
    <w:p w14:paraId="76238946" w14:textId="77777777" w:rsidR="00765D75" w:rsidRDefault="00765D75" w:rsidP="00E22BF5">
      <w:r>
        <w:t xml:space="preserve">Stichting MRN kan de hoogte van de afvalbeheerbijdrage jaarlijks differentiëren op basis van verschillen in kosten en opbrengsten in het recyclingproces (inzameling, transport, recycling, afzet </w:t>
      </w:r>
      <w:proofErr w:type="spellStart"/>
      <w:r>
        <w:t>recyclaten</w:t>
      </w:r>
      <w:proofErr w:type="spellEnd"/>
      <w:r>
        <w:t xml:space="preserve">), bijvoorbeeld veroorzaakt door verschillen in recyclebaarheid. Hierbij wordt rekening gehouden met eventuele wettelijke verplichtingen tot tariefdifferentiatie. </w:t>
      </w:r>
    </w:p>
    <w:p w14:paraId="4C562D0D" w14:textId="77777777" w:rsidR="00765D75" w:rsidRDefault="00765D75" w:rsidP="00E22BF5">
      <w:r>
        <w:t xml:space="preserve">Exportrestitutie wordt verleend voor zover matrassen worden geëxporteerd, waarvoor reeds een afvalbeheerbijdrage is afgedragen. Hiertoe moet de exporteur aan Stichting MRN aantonen dat de hoeveelheid matrassen ook daadwerkelijk door hem is geëxporteerd en dat voor de hoeveelheid geëxporteerde matrassen door hem of door een ander een afvalbeheerbijdrage is betaald.  </w:t>
      </w:r>
    </w:p>
    <w:p w14:paraId="210B37D9" w14:textId="46E0790A" w:rsidR="00765D75" w:rsidRDefault="00765D75" w:rsidP="00E22BF5">
      <w:pPr>
        <w:rPr>
          <w:b/>
          <w:bCs/>
          <w:color w:val="0070C0"/>
        </w:rPr>
      </w:pPr>
    </w:p>
    <w:p w14:paraId="2C904F26" w14:textId="77777777" w:rsidR="00A649A0" w:rsidRDefault="00A649A0" w:rsidP="00E22BF5">
      <w:pPr>
        <w:rPr>
          <w:b/>
          <w:bCs/>
          <w:color w:val="0070C0"/>
        </w:rPr>
      </w:pPr>
    </w:p>
    <w:p w14:paraId="2E63F799" w14:textId="4C1E70F6" w:rsidR="00A649A0" w:rsidRPr="00A649A0" w:rsidRDefault="00765D75" w:rsidP="00E22BF5">
      <w:pPr>
        <w:rPr>
          <w:b/>
          <w:bCs/>
          <w:color w:val="000000" w:themeColor="text1"/>
        </w:rPr>
      </w:pPr>
      <w:r w:rsidRPr="00A649A0">
        <w:rPr>
          <w:b/>
          <w:bCs/>
          <w:color w:val="000000" w:themeColor="text1"/>
        </w:rPr>
        <w:t>4. Doel samenwerkingsconvenant</w:t>
      </w:r>
    </w:p>
    <w:p w14:paraId="29E8473C" w14:textId="77777777" w:rsidR="00765D75" w:rsidRDefault="00765D75" w:rsidP="00E22BF5"/>
    <w:p w14:paraId="73DD4841" w14:textId="1DCAB1D5" w:rsidR="00765D75" w:rsidRDefault="002D14BF" w:rsidP="00E22BF5">
      <w:r>
        <w:t>[</w:t>
      </w:r>
      <w:r w:rsidR="00765D75">
        <w:t>Bedrijfsnaam</w:t>
      </w:r>
      <w:r>
        <w:t>]</w:t>
      </w:r>
      <w:r w:rsidR="00765D75">
        <w:t xml:space="preserve"> is een producent van matrassen </w:t>
      </w:r>
      <w:r w:rsidR="00A649A0">
        <w:t xml:space="preserve">in </w:t>
      </w:r>
      <w:r w:rsidR="00765D75">
        <w:t>het buitenland</w:t>
      </w:r>
      <w:r w:rsidR="00D32C15">
        <w:t xml:space="preserve"> </w:t>
      </w:r>
      <w:r w:rsidR="00765D75">
        <w:t>in de zin van artikel 1 van de ‘Overeenkomst’ en exporteert matrassen naar Nederland, alwaar de importeurs van deze matrassen verplicht zijn opgave te doen van het aantal consumentenmatrassen die zij op de Nederlandse markt brengen. Uit de opgaveverplichting volgt een verplichting tot afdracht van een afvalbeheerbijdrage voor producenten</w:t>
      </w:r>
      <w:r w:rsidR="00765D75" w:rsidRPr="006D75ED">
        <w:t xml:space="preserve"> en/of importeurs die, voor het totaal van hun fiscale eenheid, per jaar 200 of </w:t>
      </w:r>
      <w:r w:rsidR="00765D75">
        <w:t xml:space="preserve">meer </w:t>
      </w:r>
      <w:r w:rsidR="00765D75" w:rsidRPr="006D75ED">
        <w:t xml:space="preserve"> matrassen voor consumenten in de handel brengen</w:t>
      </w:r>
      <w:r w:rsidR="00765D75">
        <w:t>.</w:t>
      </w:r>
    </w:p>
    <w:p w14:paraId="0B29E8E4" w14:textId="2955FADC" w:rsidR="00765D75" w:rsidRDefault="00765D75" w:rsidP="00E22BF5">
      <w:r w:rsidRPr="001F317D">
        <w:t xml:space="preserve">Producenten en/of importeurs die, voor het totaal van hun fiscale eenheid, per </w:t>
      </w:r>
      <w:r w:rsidR="00B6428A">
        <w:t xml:space="preserve">jaar </w:t>
      </w:r>
      <w:r w:rsidRPr="001F317D">
        <w:t xml:space="preserve">minder </w:t>
      </w:r>
      <w:r>
        <w:t xml:space="preserve">dan 200 </w:t>
      </w:r>
      <w:r w:rsidRPr="001F317D">
        <w:t>matrassen voor consumenten in de handel brengen vallen wel onder de producentenverantwoordelijkheid</w:t>
      </w:r>
      <w:r>
        <w:t>,</w:t>
      </w:r>
      <w:r w:rsidRPr="001F317D">
        <w:t xml:space="preserve"> maar worden vrijgesteld van het afdragen van de afvalbeheerbijdrage door het doen van een nihil opgave</w:t>
      </w:r>
      <w:r>
        <w:t xml:space="preserve"> (artikel 3 van de ‘Overeenkomst’).</w:t>
      </w:r>
    </w:p>
    <w:p w14:paraId="61D82F4B" w14:textId="30A5D9E7" w:rsidR="00765D75" w:rsidRDefault="00765D75" w:rsidP="00E22BF5">
      <w:r>
        <w:t xml:space="preserve">Partijen bij dit convenant beogen middels de samenwerking de administratieve lasten voor de afzonderlijke importeurs te verlichten doordat </w:t>
      </w:r>
      <w:r w:rsidR="002D14BF">
        <w:t>[</w:t>
      </w:r>
      <w:r>
        <w:t>bedrijfsnaam</w:t>
      </w:r>
      <w:r w:rsidR="002D14BF">
        <w:t>]</w:t>
      </w:r>
      <w:r>
        <w:t xml:space="preserve"> namens de afzonderlijke importeurs  opgave zal doen van het totaal aantal consumentenmatrassen dat zij exporteren naar Nederland en aldaar in de markt worden gebracht via de afzonderlijke importeurs.</w:t>
      </w:r>
    </w:p>
    <w:p w14:paraId="3D9B407D" w14:textId="65A54004" w:rsidR="00765D75" w:rsidRDefault="00765D75" w:rsidP="00E22BF5"/>
    <w:p w14:paraId="0F95D623" w14:textId="77777777" w:rsidR="002D14BF" w:rsidRPr="006A7FFB" w:rsidRDefault="002D14BF" w:rsidP="00E22BF5"/>
    <w:p w14:paraId="0805D900" w14:textId="77777777" w:rsidR="00765D75" w:rsidRPr="002D14BF" w:rsidRDefault="00765D75" w:rsidP="00E22BF5">
      <w:pPr>
        <w:rPr>
          <w:b/>
          <w:bCs/>
          <w:color w:val="000000" w:themeColor="text1"/>
        </w:rPr>
      </w:pPr>
      <w:r w:rsidRPr="002D14BF">
        <w:rPr>
          <w:b/>
          <w:bCs/>
          <w:color w:val="000000" w:themeColor="text1"/>
        </w:rPr>
        <w:t>5. Verantwoordelijkheden betrokken partijen</w:t>
      </w:r>
    </w:p>
    <w:p w14:paraId="0A6A942E" w14:textId="77777777" w:rsidR="00765D75" w:rsidRDefault="00765D75" w:rsidP="00E22BF5"/>
    <w:p w14:paraId="63628374" w14:textId="37BAF19F" w:rsidR="00765D75" w:rsidRDefault="002D14BF" w:rsidP="00E22BF5">
      <w:r>
        <w:t>[</w:t>
      </w:r>
      <w:r w:rsidR="00B6428A">
        <w:t>B</w:t>
      </w:r>
      <w:r w:rsidR="00765D75">
        <w:t>edrijfsnaam</w:t>
      </w:r>
      <w:r>
        <w:t>]</w:t>
      </w:r>
      <w:r w:rsidR="00765D75">
        <w:t xml:space="preserve"> treedt op vrijwillige basis in de plaats van de</w:t>
      </w:r>
      <w:r w:rsidR="00765D75" w:rsidRPr="001400A6">
        <w:t xml:space="preserve"> afzonderlijke importeurs ten aanzien van alle rechten en verplichtingen, die</w:t>
      </w:r>
      <w:r w:rsidR="00765D75">
        <w:t xml:space="preserve"> zij</w:t>
      </w:r>
      <w:r w:rsidR="00765D75" w:rsidRPr="001400A6">
        <w:t xml:space="preserve"> hebben op grond van de </w:t>
      </w:r>
      <w:r w:rsidR="00765D75">
        <w:t>‘O</w:t>
      </w:r>
      <w:r w:rsidR="00765D75" w:rsidRPr="001400A6">
        <w:t>vereenkomst</w:t>
      </w:r>
      <w:r w:rsidR="00765D75">
        <w:t>’. De producent afzonderlijk verklaart dat hij opgave zal doen van het totaal aantal matrassen voor consumenten dat hij exporteert naar Nederland en aldaar in de markt worden gebracht via de afzonderlijke importeurs.</w:t>
      </w:r>
    </w:p>
    <w:p w14:paraId="5559EAA8" w14:textId="00BCE555" w:rsidR="00765D75" w:rsidRDefault="00765D75" w:rsidP="00E22BF5">
      <w:r>
        <w:t xml:space="preserve">Stichting MRN aanvaardt dat </w:t>
      </w:r>
      <w:r w:rsidR="00B6428A">
        <w:t>[</w:t>
      </w:r>
      <w:r>
        <w:t>bedrijfsnaam</w:t>
      </w:r>
      <w:r w:rsidR="00B6428A">
        <w:t>]</w:t>
      </w:r>
      <w:r>
        <w:t xml:space="preserve"> op grond van een volmacht in de plaats treedt van de afzonderlijke importeurs en zal zich voor de opgave van de aantallen matrassen geproduceerd door </w:t>
      </w:r>
      <w:r w:rsidR="00B6428A">
        <w:t>[</w:t>
      </w:r>
      <w:r>
        <w:t>bedrijfsnaam</w:t>
      </w:r>
      <w:r w:rsidR="00B6428A">
        <w:t>]</w:t>
      </w:r>
      <w:r>
        <w:t xml:space="preserve"> tot haar wenden in plaats van de afzonderlijke importeurs.</w:t>
      </w:r>
    </w:p>
    <w:p w14:paraId="758C0FFC" w14:textId="7F4E9873" w:rsidR="00765D75" w:rsidRDefault="00765D75" w:rsidP="00E22BF5">
      <w:r>
        <w:t xml:space="preserve">De afzonderlijke importeurs blijven primair de partijen die verplicht zijn om aan de ‘Overeenkomst’ te voldoen. Op het moment dat </w:t>
      </w:r>
      <w:r w:rsidR="00B6428A">
        <w:t>[</w:t>
      </w:r>
      <w:r>
        <w:t>bedrijfsnaam</w:t>
      </w:r>
      <w:r w:rsidR="00B6428A">
        <w:t>]</w:t>
      </w:r>
      <w:r>
        <w:t xml:space="preserve"> zich niet aan de overgenomen verantwoordelijkheden houdt, zal Stichting MRN zich ten aanzien van alle verplichtingen op hen rustend weer tot de afzonderlijke importeurs in Nederland wenden, voor zover Stichting MRN dat niet reeds deed of doet in verband met het op de markt brengen van consumentenmatrassen in Nederland namens andere exporteurs of voor zichzelf als producent. </w:t>
      </w:r>
    </w:p>
    <w:p w14:paraId="194E3866" w14:textId="39A699FA" w:rsidR="00765D75" w:rsidRDefault="00B6428A" w:rsidP="00E22BF5">
      <w:pPr>
        <w:contextualSpacing/>
      </w:pPr>
      <w:r>
        <w:t>[B</w:t>
      </w:r>
      <w:r w:rsidR="00765D75">
        <w:t>edrijfsnaam</w:t>
      </w:r>
      <w:r>
        <w:t>]</w:t>
      </w:r>
      <w:r w:rsidR="00765D75">
        <w:t xml:space="preserve"> wordt door de importeurs gevolmachtigd namens hen op te treden conform bijgaande volmacht. </w:t>
      </w:r>
      <w:r w:rsidR="00765D75" w:rsidRPr="006D5E3F">
        <w:t>(Bijlage volmacht).</w:t>
      </w:r>
    </w:p>
    <w:p w14:paraId="4FD9ACB2" w14:textId="476DEE0D" w:rsidR="00765D75" w:rsidRDefault="00765D75" w:rsidP="00E22BF5"/>
    <w:p w14:paraId="5F524795" w14:textId="77777777" w:rsidR="00B6428A" w:rsidRDefault="00B6428A" w:rsidP="00E22BF5"/>
    <w:p w14:paraId="05F94318" w14:textId="77777777" w:rsidR="00765D75" w:rsidRPr="00B6428A" w:rsidRDefault="00765D75" w:rsidP="00E22BF5">
      <w:pPr>
        <w:rPr>
          <w:b/>
          <w:bCs/>
          <w:color w:val="000000" w:themeColor="text1"/>
        </w:rPr>
      </w:pPr>
      <w:r w:rsidRPr="00B6428A">
        <w:rPr>
          <w:b/>
          <w:bCs/>
          <w:color w:val="000000" w:themeColor="text1"/>
        </w:rPr>
        <w:t xml:space="preserve">6.    Werkwijze voor het doen van de opgave </w:t>
      </w:r>
    </w:p>
    <w:p w14:paraId="406827EA" w14:textId="77777777" w:rsidR="00765D75" w:rsidRDefault="00765D75" w:rsidP="00E22BF5"/>
    <w:p w14:paraId="468F9BB4" w14:textId="7290F751" w:rsidR="00765D75" w:rsidRDefault="00765D75" w:rsidP="00E22BF5">
      <w:r>
        <w:t>De wijze waarop (bedrijfsnaam) namens de importeurs aan de ‘Overeenkomst’ kan voldoen geschiedt door middel van een door Stichting MRN beschikbaar gestelde template voor de opgave van de aantallen matrassen uitgesplitst naar diverse soorten.</w:t>
      </w:r>
    </w:p>
    <w:p w14:paraId="3E6CD69C" w14:textId="77777777" w:rsidR="00B6428A" w:rsidRDefault="00B6428A" w:rsidP="00E22BF5"/>
    <w:tbl>
      <w:tblPr>
        <w:tblStyle w:val="Tabelraster"/>
        <w:tblW w:w="0" w:type="auto"/>
        <w:tblLook w:val="04A0" w:firstRow="1" w:lastRow="0" w:firstColumn="1" w:lastColumn="0" w:noHBand="0" w:noVBand="1"/>
      </w:tblPr>
      <w:tblGrid>
        <w:gridCol w:w="2261"/>
        <w:gridCol w:w="1276"/>
        <w:gridCol w:w="1276"/>
        <w:gridCol w:w="1276"/>
        <w:gridCol w:w="1253"/>
        <w:gridCol w:w="1718"/>
      </w:tblGrid>
      <w:tr w:rsidR="00765D75" w14:paraId="1B1FBBCC" w14:textId="77777777" w:rsidTr="00A925FA">
        <w:tc>
          <w:tcPr>
            <w:tcW w:w="2263" w:type="dxa"/>
          </w:tcPr>
          <w:p w14:paraId="0E5513C6" w14:textId="77777777" w:rsidR="00765D75" w:rsidRDefault="00765D75" w:rsidP="00E22BF5">
            <w:pPr>
              <w:spacing w:line="260" w:lineRule="atLeast"/>
            </w:pPr>
            <w:r>
              <w:t xml:space="preserve">De opgave vindt plaats per kwartaal en kan via de portal op </w:t>
            </w:r>
            <w:hyperlink r:id="rId9" w:history="1">
              <w:r w:rsidRPr="00DE5BEA">
                <w:rPr>
                  <w:rStyle w:val="Hyperlink"/>
                </w:rPr>
                <w:t>www.mrn.nl</w:t>
              </w:r>
            </w:hyperlink>
            <w:r>
              <w:t xml:space="preserve"> </w:t>
            </w:r>
          </w:p>
        </w:tc>
        <w:tc>
          <w:tcPr>
            <w:tcW w:w="1276" w:type="dxa"/>
          </w:tcPr>
          <w:p w14:paraId="70E43C10" w14:textId="77777777" w:rsidR="00765D75" w:rsidRDefault="00765D75" w:rsidP="00E22BF5">
            <w:pPr>
              <w:spacing w:line="260" w:lineRule="atLeast"/>
            </w:pPr>
            <w:r>
              <w:t>Aantal</w:t>
            </w:r>
          </w:p>
          <w:p w14:paraId="7EE1274C" w14:textId="77777777" w:rsidR="00765D75" w:rsidRDefault="00765D75" w:rsidP="00E22BF5">
            <w:pPr>
              <w:spacing w:line="260" w:lineRule="atLeast"/>
            </w:pPr>
            <w:r>
              <w:t>1-persoons matrassen</w:t>
            </w:r>
          </w:p>
        </w:tc>
        <w:tc>
          <w:tcPr>
            <w:tcW w:w="1276" w:type="dxa"/>
          </w:tcPr>
          <w:p w14:paraId="1EAD879F" w14:textId="77777777" w:rsidR="00765D75" w:rsidRDefault="00765D75" w:rsidP="00E22BF5">
            <w:pPr>
              <w:spacing w:line="260" w:lineRule="atLeast"/>
            </w:pPr>
            <w:r>
              <w:t>Aantal</w:t>
            </w:r>
          </w:p>
          <w:p w14:paraId="02389FBB" w14:textId="77777777" w:rsidR="00765D75" w:rsidRDefault="00765D75" w:rsidP="00E22BF5">
            <w:pPr>
              <w:spacing w:line="260" w:lineRule="atLeast"/>
            </w:pPr>
            <w:r>
              <w:t>2-persoons matrassen</w:t>
            </w:r>
          </w:p>
        </w:tc>
        <w:tc>
          <w:tcPr>
            <w:tcW w:w="1276" w:type="dxa"/>
          </w:tcPr>
          <w:p w14:paraId="5154688D" w14:textId="77777777" w:rsidR="00765D75" w:rsidRDefault="00765D75" w:rsidP="00E22BF5">
            <w:pPr>
              <w:spacing w:line="260" w:lineRule="atLeast"/>
            </w:pPr>
            <w:r>
              <w:t>Aantal</w:t>
            </w:r>
          </w:p>
          <w:p w14:paraId="2E3BDC17" w14:textId="77777777" w:rsidR="00765D75" w:rsidRDefault="00765D75" w:rsidP="00E22BF5">
            <w:pPr>
              <w:spacing w:line="260" w:lineRule="atLeast"/>
            </w:pPr>
            <w:r>
              <w:t>1-persoons toppers</w:t>
            </w:r>
          </w:p>
        </w:tc>
        <w:tc>
          <w:tcPr>
            <w:tcW w:w="1253" w:type="dxa"/>
          </w:tcPr>
          <w:p w14:paraId="49773A4B" w14:textId="77777777" w:rsidR="00765D75" w:rsidRDefault="00765D75" w:rsidP="00E22BF5">
            <w:pPr>
              <w:spacing w:line="260" w:lineRule="atLeast"/>
            </w:pPr>
            <w:r>
              <w:t>Aantal</w:t>
            </w:r>
          </w:p>
          <w:p w14:paraId="7E042436" w14:textId="77777777" w:rsidR="00765D75" w:rsidRDefault="00765D75" w:rsidP="00E22BF5">
            <w:pPr>
              <w:spacing w:line="260" w:lineRule="atLeast"/>
            </w:pPr>
            <w:r>
              <w:t>2-persoons toppers</w:t>
            </w:r>
          </w:p>
        </w:tc>
        <w:tc>
          <w:tcPr>
            <w:tcW w:w="1718" w:type="dxa"/>
          </w:tcPr>
          <w:p w14:paraId="7FEE2B11" w14:textId="77777777" w:rsidR="00765D75" w:rsidRDefault="00765D75" w:rsidP="00E22BF5">
            <w:pPr>
              <w:spacing w:line="260" w:lineRule="atLeast"/>
            </w:pPr>
            <w:r>
              <w:t>Aantal</w:t>
            </w:r>
          </w:p>
          <w:p w14:paraId="6EF72A54" w14:textId="77777777" w:rsidR="00765D75" w:rsidRDefault="00765D75" w:rsidP="00E22BF5">
            <w:pPr>
              <w:spacing w:line="260" w:lineRule="atLeast"/>
            </w:pPr>
            <w:r>
              <w:t>Baby-en kindermatrassen</w:t>
            </w:r>
          </w:p>
        </w:tc>
      </w:tr>
      <w:tr w:rsidR="00765D75" w14:paraId="656C941E" w14:textId="77777777" w:rsidTr="00A925FA">
        <w:tc>
          <w:tcPr>
            <w:tcW w:w="2263" w:type="dxa"/>
          </w:tcPr>
          <w:p w14:paraId="2B744E83" w14:textId="77777777" w:rsidR="00765D75" w:rsidRDefault="00765D75" w:rsidP="00E22BF5">
            <w:pPr>
              <w:spacing w:line="260" w:lineRule="atLeast"/>
            </w:pPr>
            <w:r>
              <w:t>Klant A</w:t>
            </w:r>
          </w:p>
        </w:tc>
        <w:tc>
          <w:tcPr>
            <w:tcW w:w="1276" w:type="dxa"/>
          </w:tcPr>
          <w:p w14:paraId="27F4C36B" w14:textId="77777777" w:rsidR="00765D75" w:rsidRDefault="00765D75" w:rsidP="00E22BF5">
            <w:pPr>
              <w:spacing w:line="260" w:lineRule="atLeast"/>
            </w:pPr>
          </w:p>
        </w:tc>
        <w:tc>
          <w:tcPr>
            <w:tcW w:w="1276" w:type="dxa"/>
          </w:tcPr>
          <w:p w14:paraId="73F9B2D0" w14:textId="77777777" w:rsidR="00765D75" w:rsidRDefault="00765D75" w:rsidP="00E22BF5">
            <w:pPr>
              <w:spacing w:line="260" w:lineRule="atLeast"/>
            </w:pPr>
          </w:p>
        </w:tc>
        <w:tc>
          <w:tcPr>
            <w:tcW w:w="1276" w:type="dxa"/>
          </w:tcPr>
          <w:p w14:paraId="4D4DD8B0" w14:textId="77777777" w:rsidR="00765D75" w:rsidRDefault="00765D75" w:rsidP="00E22BF5">
            <w:pPr>
              <w:spacing w:line="260" w:lineRule="atLeast"/>
            </w:pPr>
          </w:p>
        </w:tc>
        <w:tc>
          <w:tcPr>
            <w:tcW w:w="1253" w:type="dxa"/>
          </w:tcPr>
          <w:p w14:paraId="3E7EACFB" w14:textId="77777777" w:rsidR="00765D75" w:rsidRDefault="00765D75" w:rsidP="00E22BF5">
            <w:pPr>
              <w:spacing w:line="260" w:lineRule="atLeast"/>
            </w:pPr>
          </w:p>
        </w:tc>
        <w:tc>
          <w:tcPr>
            <w:tcW w:w="1718" w:type="dxa"/>
          </w:tcPr>
          <w:p w14:paraId="1CBEF93F" w14:textId="77777777" w:rsidR="00765D75" w:rsidRDefault="00765D75" w:rsidP="00E22BF5">
            <w:pPr>
              <w:spacing w:line="260" w:lineRule="atLeast"/>
            </w:pPr>
          </w:p>
        </w:tc>
      </w:tr>
      <w:tr w:rsidR="00765D75" w14:paraId="3C632C6B" w14:textId="77777777" w:rsidTr="00A925FA">
        <w:tc>
          <w:tcPr>
            <w:tcW w:w="2263" w:type="dxa"/>
          </w:tcPr>
          <w:p w14:paraId="117B1F83" w14:textId="77777777" w:rsidR="00765D75" w:rsidRDefault="00765D75" w:rsidP="00E22BF5">
            <w:pPr>
              <w:spacing w:line="260" w:lineRule="atLeast"/>
            </w:pPr>
            <w:r>
              <w:t>Klant B</w:t>
            </w:r>
          </w:p>
        </w:tc>
        <w:tc>
          <w:tcPr>
            <w:tcW w:w="1276" w:type="dxa"/>
          </w:tcPr>
          <w:p w14:paraId="3B74AB8C" w14:textId="77777777" w:rsidR="00765D75" w:rsidRDefault="00765D75" w:rsidP="00E22BF5">
            <w:pPr>
              <w:spacing w:line="260" w:lineRule="atLeast"/>
            </w:pPr>
          </w:p>
        </w:tc>
        <w:tc>
          <w:tcPr>
            <w:tcW w:w="1276" w:type="dxa"/>
          </w:tcPr>
          <w:p w14:paraId="05E5F43A" w14:textId="77777777" w:rsidR="00765D75" w:rsidRDefault="00765D75" w:rsidP="00E22BF5">
            <w:pPr>
              <w:spacing w:line="260" w:lineRule="atLeast"/>
            </w:pPr>
          </w:p>
        </w:tc>
        <w:tc>
          <w:tcPr>
            <w:tcW w:w="1276" w:type="dxa"/>
          </w:tcPr>
          <w:p w14:paraId="61D70ACB" w14:textId="77777777" w:rsidR="00765D75" w:rsidRDefault="00765D75" w:rsidP="00E22BF5">
            <w:pPr>
              <w:spacing w:line="260" w:lineRule="atLeast"/>
            </w:pPr>
          </w:p>
        </w:tc>
        <w:tc>
          <w:tcPr>
            <w:tcW w:w="1253" w:type="dxa"/>
          </w:tcPr>
          <w:p w14:paraId="11C5F0A8" w14:textId="77777777" w:rsidR="00765D75" w:rsidRDefault="00765D75" w:rsidP="00E22BF5">
            <w:pPr>
              <w:spacing w:line="260" w:lineRule="atLeast"/>
            </w:pPr>
          </w:p>
        </w:tc>
        <w:tc>
          <w:tcPr>
            <w:tcW w:w="1718" w:type="dxa"/>
          </w:tcPr>
          <w:p w14:paraId="71AE0783" w14:textId="77777777" w:rsidR="00765D75" w:rsidRDefault="00765D75" w:rsidP="00E22BF5">
            <w:pPr>
              <w:spacing w:line="260" w:lineRule="atLeast"/>
            </w:pPr>
          </w:p>
        </w:tc>
      </w:tr>
      <w:tr w:rsidR="00765D75" w14:paraId="50409EC0" w14:textId="77777777" w:rsidTr="00A925FA">
        <w:tc>
          <w:tcPr>
            <w:tcW w:w="2263" w:type="dxa"/>
          </w:tcPr>
          <w:p w14:paraId="43ABDA37" w14:textId="77777777" w:rsidR="00765D75" w:rsidRDefault="00765D75" w:rsidP="00E22BF5">
            <w:pPr>
              <w:spacing w:line="260" w:lineRule="atLeast"/>
            </w:pPr>
            <w:r>
              <w:t>Klant C</w:t>
            </w:r>
          </w:p>
        </w:tc>
        <w:tc>
          <w:tcPr>
            <w:tcW w:w="1276" w:type="dxa"/>
          </w:tcPr>
          <w:p w14:paraId="32DF458D" w14:textId="77777777" w:rsidR="00765D75" w:rsidRDefault="00765D75" w:rsidP="00E22BF5">
            <w:pPr>
              <w:spacing w:line="260" w:lineRule="atLeast"/>
            </w:pPr>
          </w:p>
        </w:tc>
        <w:tc>
          <w:tcPr>
            <w:tcW w:w="1276" w:type="dxa"/>
          </w:tcPr>
          <w:p w14:paraId="3A7BF655" w14:textId="77777777" w:rsidR="00765D75" w:rsidRDefault="00765D75" w:rsidP="00E22BF5">
            <w:pPr>
              <w:spacing w:line="260" w:lineRule="atLeast"/>
            </w:pPr>
          </w:p>
        </w:tc>
        <w:tc>
          <w:tcPr>
            <w:tcW w:w="1276" w:type="dxa"/>
          </w:tcPr>
          <w:p w14:paraId="40A5F8FD" w14:textId="77777777" w:rsidR="00765D75" w:rsidRDefault="00765D75" w:rsidP="00E22BF5">
            <w:pPr>
              <w:spacing w:line="260" w:lineRule="atLeast"/>
            </w:pPr>
          </w:p>
        </w:tc>
        <w:tc>
          <w:tcPr>
            <w:tcW w:w="1253" w:type="dxa"/>
          </w:tcPr>
          <w:p w14:paraId="3A4DE125" w14:textId="77777777" w:rsidR="00765D75" w:rsidRDefault="00765D75" w:rsidP="00E22BF5">
            <w:pPr>
              <w:spacing w:line="260" w:lineRule="atLeast"/>
            </w:pPr>
          </w:p>
        </w:tc>
        <w:tc>
          <w:tcPr>
            <w:tcW w:w="1718" w:type="dxa"/>
          </w:tcPr>
          <w:p w14:paraId="58C31D1C" w14:textId="77777777" w:rsidR="00765D75" w:rsidRDefault="00765D75" w:rsidP="00E22BF5">
            <w:pPr>
              <w:spacing w:line="260" w:lineRule="atLeast"/>
            </w:pPr>
          </w:p>
        </w:tc>
      </w:tr>
      <w:tr w:rsidR="00765D75" w14:paraId="65F48D8B" w14:textId="77777777" w:rsidTr="00A925FA">
        <w:tc>
          <w:tcPr>
            <w:tcW w:w="2263" w:type="dxa"/>
          </w:tcPr>
          <w:p w14:paraId="5A1714F3" w14:textId="77777777" w:rsidR="00765D75" w:rsidRDefault="00765D75" w:rsidP="00E22BF5">
            <w:pPr>
              <w:spacing w:line="260" w:lineRule="atLeast"/>
            </w:pPr>
            <w:r>
              <w:t>Klant D</w:t>
            </w:r>
          </w:p>
        </w:tc>
        <w:tc>
          <w:tcPr>
            <w:tcW w:w="1276" w:type="dxa"/>
          </w:tcPr>
          <w:p w14:paraId="428B8904" w14:textId="77777777" w:rsidR="00765D75" w:rsidRDefault="00765D75" w:rsidP="00E22BF5">
            <w:pPr>
              <w:spacing w:line="260" w:lineRule="atLeast"/>
            </w:pPr>
          </w:p>
        </w:tc>
        <w:tc>
          <w:tcPr>
            <w:tcW w:w="1276" w:type="dxa"/>
          </w:tcPr>
          <w:p w14:paraId="7E143704" w14:textId="77777777" w:rsidR="00765D75" w:rsidRDefault="00765D75" w:rsidP="00E22BF5">
            <w:pPr>
              <w:spacing w:line="260" w:lineRule="atLeast"/>
            </w:pPr>
          </w:p>
        </w:tc>
        <w:tc>
          <w:tcPr>
            <w:tcW w:w="1276" w:type="dxa"/>
          </w:tcPr>
          <w:p w14:paraId="688F891D" w14:textId="77777777" w:rsidR="00765D75" w:rsidRDefault="00765D75" w:rsidP="00E22BF5">
            <w:pPr>
              <w:spacing w:line="260" w:lineRule="atLeast"/>
            </w:pPr>
          </w:p>
        </w:tc>
        <w:tc>
          <w:tcPr>
            <w:tcW w:w="1253" w:type="dxa"/>
          </w:tcPr>
          <w:p w14:paraId="658C16B1" w14:textId="77777777" w:rsidR="00765D75" w:rsidRDefault="00765D75" w:rsidP="00E22BF5">
            <w:pPr>
              <w:spacing w:line="260" w:lineRule="atLeast"/>
            </w:pPr>
          </w:p>
        </w:tc>
        <w:tc>
          <w:tcPr>
            <w:tcW w:w="1718" w:type="dxa"/>
          </w:tcPr>
          <w:p w14:paraId="4A4F797D" w14:textId="77777777" w:rsidR="00765D75" w:rsidRDefault="00765D75" w:rsidP="00E22BF5">
            <w:pPr>
              <w:spacing w:line="260" w:lineRule="atLeast"/>
            </w:pPr>
          </w:p>
        </w:tc>
      </w:tr>
      <w:tr w:rsidR="00765D75" w14:paraId="7AFBD4CA" w14:textId="77777777" w:rsidTr="00A925FA">
        <w:tc>
          <w:tcPr>
            <w:tcW w:w="2263" w:type="dxa"/>
          </w:tcPr>
          <w:p w14:paraId="71E7053B" w14:textId="77777777" w:rsidR="00765D75" w:rsidRDefault="00765D75" w:rsidP="00E22BF5">
            <w:pPr>
              <w:spacing w:line="260" w:lineRule="atLeast"/>
            </w:pPr>
            <w:r>
              <w:t>Totaal</w:t>
            </w:r>
          </w:p>
        </w:tc>
        <w:tc>
          <w:tcPr>
            <w:tcW w:w="1276" w:type="dxa"/>
          </w:tcPr>
          <w:p w14:paraId="46C08C50" w14:textId="77777777" w:rsidR="00765D75" w:rsidRDefault="00765D75" w:rsidP="00E22BF5">
            <w:pPr>
              <w:spacing w:line="260" w:lineRule="atLeast"/>
            </w:pPr>
          </w:p>
        </w:tc>
        <w:tc>
          <w:tcPr>
            <w:tcW w:w="1276" w:type="dxa"/>
          </w:tcPr>
          <w:p w14:paraId="63D3B7D8" w14:textId="77777777" w:rsidR="00765D75" w:rsidRDefault="00765D75" w:rsidP="00E22BF5">
            <w:pPr>
              <w:spacing w:line="260" w:lineRule="atLeast"/>
            </w:pPr>
          </w:p>
        </w:tc>
        <w:tc>
          <w:tcPr>
            <w:tcW w:w="1276" w:type="dxa"/>
          </w:tcPr>
          <w:p w14:paraId="4C40D10E" w14:textId="77777777" w:rsidR="00765D75" w:rsidRDefault="00765D75" w:rsidP="00E22BF5">
            <w:pPr>
              <w:spacing w:line="260" w:lineRule="atLeast"/>
            </w:pPr>
          </w:p>
        </w:tc>
        <w:tc>
          <w:tcPr>
            <w:tcW w:w="1253" w:type="dxa"/>
          </w:tcPr>
          <w:p w14:paraId="6DA0DC07" w14:textId="77777777" w:rsidR="00765D75" w:rsidRDefault="00765D75" w:rsidP="00E22BF5">
            <w:pPr>
              <w:spacing w:line="260" w:lineRule="atLeast"/>
            </w:pPr>
          </w:p>
        </w:tc>
        <w:tc>
          <w:tcPr>
            <w:tcW w:w="1718" w:type="dxa"/>
          </w:tcPr>
          <w:p w14:paraId="4F25DF7E" w14:textId="77777777" w:rsidR="00765D75" w:rsidRDefault="00765D75" w:rsidP="00E22BF5">
            <w:pPr>
              <w:spacing w:line="260" w:lineRule="atLeast"/>
            </w:pPr>
          </w:p>
        </w:tc>
      </w:tr>
    </w:tbl>
    <w:p w14:paraId="2A1F386E" w14:textId="6CC30AE5" w:rsidR="00765D75" w:rsidRDefault="00765D75" w:rsidP="00E22BF5">
      <w:pPr>
        <w:rPr>
          <w:sz w:val="16"/>
          <w:szCs w:val="16"/>
        </w:rPr>
      </w:pPr>
      <w:r>
        <w:rPr>
          <w:sz w:val="16"/>
          <w:szCs w:val="16"/>
        </w:rPr>
        <w:t>Typische kenmerkende maatvoeringen zijn : b</w:t>
      </w:r>
      <w:r w:rsidRPr="00A925FA">
        <w:rPr>
          <w:sz w:val="16"/>
          <w:szCs w:val="16"/>
        </w:rPr>
        <w:t xml:space="preserve">aby- </w:t>
      </w:r>
      <w:r>
        <w:rPr>
          <w:sz w:val="16"/>
          <w:szCs w:val="16"/>
        </w:rPr>
        <w:t xml:space="preserve">&amp; </w:t>
      </w:r>
      <w:r w:rsidRPr="00A925FA">
        <w:rPr>
          <w:sz w:val="16"/>
          <w:szCs w:val="16"/>
        </w:rPr>
        <w:t>peutermatras: 40 cm x 80 cm - 60 x 120 cm</w:t>
      </w:r>
      <w:r>
        <w:rPr>
          <w:sz w:val="16"/>
          <w:szCs w:val="16"/>
        </w:rPr>
        <w:t xml:space="preserve"> | k</w:t>
      </w:r>
      <w:r w:rsidRPr="00A925FA">
        <w:rPr>
          <w:sz w:val="16"/>
          <w:szCs w:val="16"/>
        </w:rPr>
        <w:t>indermatras: 70 x 140 cm – 80 x 160 cm</w:t>
      </w:r>
      <w:r>
        <w:rPr>
          <w:sz w:val="16"/>
          <w:szCs w:val="16"/>
        </w:rPr>
        <w:t xml:space="preserve"> | volwassen m</w:t>
      </w:r>
      <w:r w:rsidRPr="00A925FA">
        <w:rPr>
          <w:sz w:val="16"/>
          <w:szCs w:val="16"/>
        </w:rPr>
        <w:t>atras: vanaf 70 cm x 190 cm</w:t>
      </w:r>
      <w:r>
        <w:rPr>
          <w:sz w:val="16"/>
          <w:szCs w:val="16"/>
        </w:rPr>
        <w:t>. Een topper is een dunner (3 cm – 10 cm) matras dat op de dragende matras gelegd wordt voor extra comfort.</w:t>
      </w:r>
    </w:p>
    <w:p w14:paraId="1185D20E" w14:textId="77777777" w:rsidR="00765D75" w:rsidRPr="00A925FA" w:rsidRDefault="00765D75" w:rsidP="00E22BF5">
      <w:pPr>
        <w:rPr>
          <w:sz w:val="16"/>
          <w:szCs w:val="16"/>
        </w:rPr>
      </w:pPr>
    </w:p>
    <w:p w14:paraId="0AC48EEF" w14:textId="2214D14F" w:rsidR="00765D75" w:rsidRDefault="00765D75" w:rsidP="00E22BF5">
      <w:r>
        <w:t xml:space="preserve">Een matras waaronder begrepen een topper is </w:t>
      </w:r>
      <w:r w:rsidRPr="009870F4">
        <w:t>een lichaam ondersteunend onderdeel van een bed</w:t>
      </w:r>
      <w:r>
        <w:t xml:space="preserve"> dat</w:t>
      </w:r>
      <w:r w:rsidRPr="009870F4">
        <w:t xml:space="preserve"> in een ledikant,</w:t>
      </w:r>
      <w:r>
        <w:t xml:space="preserve"> op een </w:t>
      </w:r>
      <w:proofErr w:type="spellStart"/>
      <w:r>
        <w:t>boxspring</w:t>
      </w:r>
      <w:proofErr w:type="spellEnd"/>
      <w:r w:rsidRPr="009870F4">
        <w:t xml:space="preserve"> o</w:t>
      </w:r>
      <w:r>
        <w:t xml:space="preserve">f op </w:t>
      </w:r>
      <w:r w:rsidRPr="00BD6F36">
        <w:t xml:space="preserve">een dragende </w:t>
      </w:r>
      <w:r w:rsidRPr="009870F4">
        <w:t>bodem</w:t>
      </w:r>
      <w:r>
        <w:t xml:space="preserve"> (latten, spiraal of anders)</w:t>
      </w:r>
      <w:r w:rsidRPr="009870F4">
        <w:t xml:space="preserve">, </w:t>
      </w:r>
      <w:r w:rsidRPr="00BD6F36">
        <w:t xml:space="preserve">kan </w:t>
      </w:r>
      <w:r>
        <w:t xml:space="preserve">worden </w:t>
      </w:r>
      <w:r w:rsidRPr="009870F4">
        <w:t>gelegd.</w:t>
      </w:r>
      <w:r>
        <w:t xml:space="preserve"> E</w:t>
      </w:r>
      <w:r w:rsidRPr="00E443EF">
        <w:t>en matras</w:t>
      </w:r>
      <w:r>
        <w:t xml:space="preserve"> of topper</w:t>
      </w:r>
      <w:r w:rsidRPr="00E443EF">
        <w:t xml:space="preserve"> </w:t>
      </w:r>
      <w:r>
        <w:t xml:space="preserve">ondersteunt het lichaam bij het liggen en heeft een minimale dikte van 3 centimeter. </w:t>
      </w:r>
    </w:p>
    <w:p w14:paraId="31AC186E" w14:textId="4608D733" w:rsidR="00765D75" w:rsidRPr="00DC07AE" w:rsidRDefault="00765D75" w:rsidP="00E22BF5">
      <w:r>
        <w:t xml:space="preserve">Momenteel wordt geen tariefdifferentiatie toegepast. De uitsplitsing is voor nu met name bedoeld voor het verkrijgen van statistische gegevens en inzicht in de markt. Voor elke soort matras geldt in 2022 een afvalbeheerbijdrage van </w:t>
      </w:r>
      <w:r w:rsidR="00B6428A">
        <w:t xml:space="preserve">€ </w:t>
      </w:r>
      <w:r>
        <w:t>2,60 ex. BTW per matras.</w:t>
      </w:r>
    </w:p>
    <w:p w14:paraId="3231F0E1" w14:textId="5C349266" w:rsidR="00765D75" w:rsidRDefault="00765D75" w:rsidP="00E22BF5"/>
    <w:p w14:paraId="67E128D8" w14:textId="77777777" w:rsidR="00B6428A" w:rsidRDefault="00B6428A" w:rsidP="00E22BF5"/>
    <w:p w14:paraId="40F2B511" w14:textId="77777777" w:rsidR="00765D75" w:rsidRPr="00B6428A" w:rsidRDefault="00765D75" w:rsidP="00E22BF5">
      <w:pPr>
        <w:rPr>
          <w:b/>
          <w:bCs/>
          <w:color w:val="000000" w:themeColor="text1"/>
        </w:rPr>
      </w:pPr>
      <w:r w:rsidRPr="00B6428A">
        <w:rPr>
          <w:b/>
          <w:bCs/>
          <w:color w:val="000000" w:themeColor="text1"/>
        </w:rPr>
        <w:t>7.    Geheimhouding</w:t>
      </w:r>
    </w:p>
    <w:p w14:paraId="27B4F993" w14:textId="77777777" w:rsidR="00765D75" w:rsidRDefault="00765D75" w:rsidP="00E22BF5"/>
    <w:p w14:paraId="3A191209" w14:textId="738DBF5C" w:rsidR="00765D75" w:rsidRPr="00885D4D" w:rsidRDefault="00765D75" w:rsidP="00E22BF5">
      <w:r w:rsidRPr="00885D4D">
        <w:t xml:space="preserve">Ten behoeve van de uitvoering van de algemeen verbindend verklaarde </w:t>
      </w:r>
      <w:r>
        <w:t>‘</w:t>
      </w:r>
      <w:r w:rsidRPr="00885D4D">
        <w:t>Overeenkomst</w:t>
      </w:r>
      <w:r>
        <w:t>’</w:t>
      </w:r>
      <w:r w:rsidRPr="00885D4D">
        <w:t xml:space="preserve"> inzake de Afvalbeheerbijdrage voor de recycling matrassen ontvangt de Stichting </w:t>
      </w:r>
      <w:r>
        <w:t xml:space="preserve">MRN </w:t>
      </w:r>
      <w:r w:rsidRPr="00885D4D">
        <w:t>bedrijfsgegevens/</w:t>
      </w:r>
      <w:r w:rsidR="00B6428A">
        <w:t xml:space="preserve"> </w:t>
      </w:r>
      <w:r w:rsidRPr="00885D4D">
        <w:t>informatie van producenten en/of importeurs van matrassen en topmatrassen.</w:t>
      </w:r>
    </w:p>
    <w:p w14:paraId="6ED5BA55" w14:textId="77777777" w:rsidR="00765D75" w:rsidRPr="00885D4D" w:rsidRDefault="00765D75" w:rsidP="00E22BF5">
      <w:r w:rsidRPr="00885D4D">
        <w:t>Deze informatie bestaat onder andere uit:</w:t>
      </w:r>
    </w:p>
    <w:p w14:paraId="185A51A2" w14:textId="67FB4CF1" w:rsidR="00765D75" w:rsidRPr="00885D4D" w:rsidRDefault="00B6428A" w:rsidP="00E22BF5">
      <w:pPr>
        <w:numPr>
          <w:ilvl w:val="0"/>
          <w:numId w:val="12"/>
        </w:numPr>
      </w:pPr>
      <w:r w:rsidRPr="00885D4D">
        <w:t>N</w:t>
      </w:r>
      <w:r w:rsidR="00765D75" w:rsidRPr="00885D4D">
        <w:t>aam</w:t>
      </w:r>
      <w:r>
        <w:t>;</w:t>
      </w:r>
    </w:p>
    <w:p w14:paraId="5BFA65FA" w14:textId="20D6A5E9" w:rsidR="00765D75" w:rsidRPr="00885D4D" w:rsidRDefault="00B6428A" w:rsidP="00E22BF5">
      <w:pPr>
        <w:numPr>
          <w:ilvl w:val="0"/>
          <w:numId w:val="12"/>
        </w:numPr>
      </w:pPr>
      <w:r w:rsidRPr="00885D4D">
        <w:t>A</w:t>
      </w:r>
      <w:r w:rsidR="00765D75" w:rsidRPr="00885D4D">
        <w:t>dres</w:t>
      </w:r>
      <w:r>
        <w:t>;</w:t>
      </w:r>
      <w:r w:rsidR="00765D75" w:rsidRPr="00885D4D">
        <w:t xml:space="preserve"> </w:t>
      </w:r>
    </w:p>
    <w:p w14:paraId="30271584" w14:textId="1A5E4BAD" w:rsidR="00765D75" w:rsidRPr="00885D4D" w:rsidRDefault="00B6428A" w:rsidP="00E22BF5">
      <w:pPr>
        <w:numPr>
          <w:ilvl w:val="0"/>
          <w:numId w:val="12"/>
        </w:numPr>
      </w:pPr>
      <w:r w:rsidRPr="00885D4D">
        <w:t>W</w:t>
      </w:r>
      <w:r w:rsidR="00765D75" w:rsidRPr="00885D4D">
        <w:t>oonplaats</w:t>
      </w:r>
      <w:r>
        <w:t>;</w:t>
      </w:r>
    </w:p>
    <w:p w14:paraId="66713FCB" w14:textId="6359B545" w:rsidR="00765D75" w:rsidRPr="00885D4D" w:rsidRDefault="00B6428A" w:rsidP="00E22BF5">
      <w:pPr>
        <w:numPr>
          <w:ilvl w:val="0"/>
          <w:numId w:val="12"/>
        </w:numPr>
      </w:pPr>
      <w:r>
        <w:t>O</w:t>
      </w:r>
      <w:r w:rsidR="00765D75">
        <w:t>ndernemingsnummer</w:t>
      </w:r>
      <w:r>
        <w:t>;</w:t>
      </w:r>
    </w:p>
    <w:p w14:paraId="21A93C98" w14:textId="6DB82EFB" w:rsidR="00765D75" w:rsidRPr="00885D4D" w:rsidRDefault="00B6428A" w:rsidP="00E22BF5">
      <w:pPr>
        <w:numPr>
          <w:ilvl w:val="0"/>
          <w:numId w:val="12"/>
        </w:numPr>
      </w:pPr>
      <w:r w:rsidRPr="00885D4D">
        <w:t>E</w:t>
      </w:r>
      <w:r w:rsidR="00765D75" w:rsidRPr="00885D4D">
        <w:t>mailadressen</w:t>
      </w:r>
      <w:r>
        <w:t>;</w:t>
      </w:r>
    </w:p>
    <w:p w14:paraId="748651A2" w14:textId="43D4F63D" w:rsidR="00765D75" w:rsidRPr="00885D4D" w:rsidRDefault="00B6428A" w:rsidP="00E22BF5">
      <w:pPr>
        <w:numPr>
          <w:ilvl w:val="0"/>
          <w:numId w:val="12"/>
        </w:numPr>
      </w:pPr>
      <w:r w:rsidRPr="00885D4D">
        <w:t>T</w:t>
      </w:r>
      <w:r w:rsidR="00765D75" w:rsidRPr="00885D4D">
        <w:t>elefoonnummers</w:t>
      </w:r>
      <w:r>
        <w:t>;</w:t>
      </w:r>
    </w:p>
    <w:p w14:paraId="5FF69974" w14:textId="00E04FD2" w:rsidR="00765D75" w:rsidRPr="00885D4D" w:rsidRDefault="00B6428A" w:rsidP="00E22BF5">
      <w:pPr>
        <w:numPr>
          <w:ilvl w:val="0"/>
          <w:numId w:val="12"/>
        </w:numPr>
      </w:pPr>
      <w:r w:rsidRPr="00885D4D">
        <w:t>C</w:t>
      </w:r>
      <w:r w:rsidR="00765D75" w:rsidRPr="00885D4D">
        <w:t>ontactpersonen</w:t>
      </w:r>
      <w:r>
        <w:t>;</w:t>
      </w:r>
    </w:p>
    <w:p w14:paraId="1269DCAC" w14:textId="4F3CF1DF" w:rsidR="00765D75" w:rsidRPr="00885D4D" w:rsidRDefault="00B6428A" w:rsidP="00E22BF5">
      <w:pPr>
        <w:numPr>
          <w:ilvl w:val="0"/>
          <w:numId w:val="12"/>
        </w:numPr>
      </w:pPr>
      <w:r w:rsidRPr="00885D4D">
        <w:t>B</w:t>
      </w:r>
      <w:r w:rsidR="00765D75" w:rsidRPr="00885D4D">
        <w:t>ankrekeningnummer</w:t>
      </w:r>
      <w:r>
        <w:t>;</w:t>
      </w:r>
    </w:p>
    <w:p w14:paraId="02436AAF" w14:textId="6B19ECB4" w:rsidR="00765D75" w:rsidRPr="00885D4D" w:rsidRDefault="00B6428A" w:rsidP="00E22BF5">
      <w:pPr>
        <w:numPr>
          <w:ilvl w:val="0"/>
          <w:numId w:val="12"/>
        </w:numPr>
      </w:pPr>
      <w:r>
        <w:t>B</w:t>
      </w:r>
      <w:r w:rsidR="00765D75" w:rsidRPr="00885D4D">
        <w:t>tw-nummer</w:t>
      </w:r>
      <w:r>
        <w:t>;</w:t>
      </w:r>
    </w:p>
    <w:p w14:paraId="6F6077E4" w14:textId="31E86B6C" w:rsidR="00765D75" w:rsidRPr="00885D4D" w:rsidRDefault="00B6428A" w:rsidP="00E22BF5">
      <w:pPr>
        <w:numPr>
          <w:ilvl w:val="0"/>
          <w:numId w:val="12"/>
        </w:numPr>
      </w:pPr>
      <w:r>
        <w:t>A</w:t>
      </w:r>
      <w:r w:rsidR="00765D75" w:rsidRPr="00885D4D">
        <w:t>antallen matrassen</w:t>
      </w:r>
      <w:r>
        <w:t>;</w:t>
      </w:r>
    </w:p>
    <w:p w14:paraId="62E44822" w14:textId="602D89E8" w:rsidR="00765D75" w:rsidRPr="00885D4D" w:rsidRDefault="00B6428A" w:rsidP="00E22BF5">
      <w:pPr>
        <w:numPr>
          <w:ilvl w:val="0"/>
          <w:numId w:val="12"/>
        </w:numPr>
      </w:pPr>
      <w:r>
        <w:t>S</w:t>
      </w:r>
      <w:r w:rsidR="00765D75" w:rsidRPr="00885D4D">
        <w:t>oort matrassen</w:t>
      </w:r>
      <w:r w:rsidR="00765D75">
        <w:t>: éénpersoonsmatras / tweepersoonsmatras / éénpersoons topper / tweepersoons topper / baby- en kinderbedmatras</w:t>
      </w:r>
      <w:r>
        <w:t xml:space="preserve">. </w:t>
      </w:r>
    </w:p>
    <w:p w14:paraId="6AB03D41" w14:textId="77777777" w:rsidR="00765D75" w:rsidRPr="00885D4D" w:rsidRDefault="00765D75" w:rsidP="00E22BF5"/>
    <w:p w14:paraId="062ADEF4" w14:textId="4E108177" w:rsidR="00765D75" w:rsidRPr="00741941" w:rsidRDefault="00765D75" w:rsidP="00E22BF5">
      <w:bookmarkStart w:id="2" w:name="_Hlk89770984"/>
      <w:r w:rsidRPr="00885D4D">
        <w:t>Stichting M</w:t>
      </w:r>
      <w:r>
        <w:t xml:space="preserve">RN en Koninklijke CBM (de uitvoeringsorganisatie namens de stichting) </w:t>
      </w:r>
      <w:bookmarkEnd w:id="2"/>
      <w:r w:rsidRPr="00885D4D">
        <w:t>z</w:t>
      </w:r>
      <w:r>
        <w:t>ullen</w:t>
      </w:r>
      <w:r w:rsidRPr="00885D4D">
        <w:t xml:space="preserve"> voornoemde gegevens</w:t>
      </w:r>
      <w:r>
        <w:t>,</w:t>
      </w:r>
      <w:r w:rsidRPr="00885D4D">
        <w:t xml:space="preserve"> die he</w:t>
      </w:r>
      <w:r>
        <w:t>n</w:t>
      </w:r>
      <w:r w:rsidRPr="00885D4D">
        <w:t xml:space="preserve"> door producenten en/of importeurs of door haar aangewezen personen </w:t>
      </w:r>
      <w:r>
        <w:t>worden</w:t>
      </w:r>
      <w:r w:rsidRPr="00885D4D">
        <w:t xml:space="preserve"> of </w:t>
      </w:r>
      <w:r>
        <w:t>zullen</w:t>
      </w:r>
      <w:r w:rsidRPr="00885D4D">
        <w:t xml:space="preserve"> worden verstrekt</w:t>
      </w:r>
      <w:r>
        <w:t>,</w:t>
      </w:r>
      <w:r w:rsidRPr="00885D4D">
        <w:t xml:space="preserve"> behandelen als vertrouwelijke informatie, die </w:t>
      </w:r>
      <w:r>
        <w:t>z</w:t>
      </w:r>
      <w:r w:rsidRPr="00885D4D">
        <w:t xml:space="preserve">ij derhalve voor derden strikt geheim houden en voor geen ander doel </w:t>
      </w:r>
      <w:r>
        <w:t xml:space="preserve">gaan </w:t>
      </w:r>
      <w:r w:rsidRPr="00885D4D">
        <w:t xml:space="preserve">gebruiken dan voor de uitvoering van de </w:t>
      </w:r>
      <w:r>
        <w:t>‘</w:t>
      </w:r>
      <w:r w:rsidRPr="00885D4D">
        <w:t>Overeenkomst</w:t>
      </w:r>
      <w:r>
        <w:t>’</w:t>
      </w:r>
      <w:r w:rsidRPr="00885D4D">
        <w:t xml:space="preserve">, tenzij de afgifte nodig is voor het vervullen van een wettelijke plicht, bijvoorbeeld voldoen aan een rechterlijk bevel of in het kader van rapportageplicht aan </w:t>
      </w:r>
      <w:r>
        <w:t>h</w:t>
      </w:r>
      <w:r w:rsidRPr="00885D4D">
        <w:t xml:space="preserve">et Ministerie </w:t>
      </w:r>
      <w:r w:rsidRPr="00F13034">
        <w:rPr>
          <w:rFonts w:cstheme="minorHAnsi"/>
        </w:rPr>
        <w:t xml:space="preserve">van </w:t>
      </w:r>
      <w:r w:rsidRPr="005B46F9">
        <w:rPr>
          <w:rFonts w:cstheme="minorHAnsi"/>
          <w:shd w:val="clear" w:color="auto" w:fill="FFFFFF"/>
        </w:rPr>
        <w:t>Infrastructuur en Waterstaat</w:t>
      </w:r>
      <w:r w:rsidRPr="00F13034">
        <w:rPr>
          <w:rFonts w:cstheme="minorHAnsi"/>
        </w:rPr>
        <w:t>.</w:t>
      </w:r>
    </w:p>
    <w:p w14:paraId="35B7DF2E" w14:textId="77777777" w:rsidR="00765D75" w:rsidRPr="00885D4D" w:rsidRDefault="00765D75" w:rsidP="00E22BF5">
      <w:r>
        <w:t xml:space="preserve">De uitvoerende organisatie van de </w:t>
      </w:r>
      <w:r w:rsidRPr="00885D4D">
        <w:t xml:space="preserve">Stichting </w:t>
      </w:r>
      <w:r>
        <w:t>MRN</w:t>
      </w:r>
      <w:r w:rsidRPr="00885D4D">
        <w:t xml:space="preserve"> zal de bedrijfsgegevens/informatie uitsluitend bekend maken aan zijn werknemers voor zover deze daarvan kennis moeten nemen voor het realiseren van de uitvoering van de </w:t>
      </w:r>
      <w:r>
        <w:t>‘O</w:t>
      </w:r>
      <w:r w:rsidRPr="00885D4D">
        <w:t>vereenkomst</w:t>
      </w:r>
      <w:r>
        <w:t>’</w:t>
      </w:r>
      <w:r w:rsidRPr="00885D4D">
        <w:t xml:space="preserve"> (bepalen afvalbeheerbijdrage).</w:t>
      </w:r>
    </w:p>
    <w:p w14:paraId="69F9A573" w14:textId="732C55CF" w:rsidR="00765D75" w:rsidRDefault="00765D75" w:rsidP="00E22BF5">
      <w:r w:rsidRPr="00885D4D">
        <w:t>Stichting M</w:t>
      </w:r>
      <w:r>
        <w:t>RN</w:t>
      </w:r>
      <w:r w:rsidRPr="00885D4D">
        <w:t xml:space="preserve"> zorgt voor een beveiliging, passend bij de gevoeligheid van de bedrijfsgegevens/informatie. Dit gebeurt door het nemen van zowel technische maatregelen </w:t>
      </w:r>
      <w:r>
        <w:t xml:space="preserve">als </w:t>
      </w:r>
      <w:r w:rsidRPr="00885D4D">
        <w:t>organisatorische maatregelen.</w:t>
      </w:r>
    </w:p>
    <w:p w14:paraId="06E4E4D5" w14:textId="77777777" w:rsidR="00B6428A" w:rsidRPr="00885D4D" w:rsidRDefault="00B6428A" w:rsidP="00E22BF5"/>
    <w:p w14:paraId="294D2065" w14:textId="77777777" w:rsidR="00765D75" w:rsidRDefault="00765D75" w:rsidP="00E22BF5">
      <w:pPr>
        <w:rPr>
          <w:rFonts w:cs="Arial"/>
          <w:color w:val="000000"/>
          <w:szCs w:val="17"/>
        </w:rPr>
      </w:pPr>
    </w:p>
    <w:p w14:paraId="11550519" w14:textId="77777777" w:rsidR="00765D75" w:rsidRPr="00B6428A" w:rsidRDefault="00765D75" w:rsidP="00E22BF5">
      <w:pPr>
        <w:rPr>
          <w:b/>
          <w:bCs/>
          <w:color w:val="000000" w:themeColor="text1"/>
        </w:rPr>
      </w:pPr>
      <w:r w:rsidRPr="00B6428A">
        <w:rPr>
          <w:b/>
          <w:bCs/>
          <w:color w:val="000000" w:themeColor="text1"/>
        </w:rPr>
        <w:t>8.</w:t>
      </w:r>
      <w:r w:rsidRPr="00B6428A">
        <w:rPr>
          <w:color w:val="000000" w:themeColor="text1"/>
        </w:rPr>
        <w:t xml:space="preserve"> </w:t>
      </w:r>
      <w:r w:rsidRPr="00B6428A">
        <w:rPr>
          <w:b/>
          <w:bCs/>
          <w:color w:val="000000" w:themeColor="text1"/>
        </w:rPr>
        <w:t xml:space="preserve">   Duur en beëindiging</w:t>
      </w:r>
    </w:p>
    <w:p w14:paraId="326AED56" w14:textId="77777777" w:rsidR="00765D75" w:rsidRDefault="00765D75" w:rsidP="00E22BF5"/>
    <w:p w14:paraId="05B142D0" w14:textId="64D74B26" w:rsidR="00765D75" w:rsidRDefault="00765D75" w:rsidP="00E22BF5">
      <w:r>
        <w:t>Deze overeenkomst is aangegaan voor de duur van de algemeenverbindendverklaring van de ‘</w:t>
      </w:r>
      <w:r w:rsidRPr="00F827DB">
        <w:t>Overeenkomst inzake de afvalbeheerbijdrage voor de recycling van matrassen</w:t>
      </w:r>
      <w:r>
        <w:t>’</w:t>
      </w:r>
      <w:r w:rsidRPr="00F827DB">
        <w:t xml:space="preserve"> van</w:t>
      </w:r>
      <w:r>
        <w:t>af</w:t>
      </w:r>
      <w:r w:rsidRPr="00F827DB">
        <w:t xml:space="preserve"> 1 </w:t>
      </w:r>
      <w:r>
        <w:t>januari 2022</w:t>
      </w:r>
      <w:r w:rsidRPr="00F827DB">
        <w:t xml:space="preserve"> tot en met 31 oktober 2026</w:t>
      </w:r>
      <w:r>
        <w:t>.</w:t>
      </w:r>
      <w:r w:rsidRPr="00F827DB">
        <w:t xml:space="preserve">  </w:t>
      </w:r>
      <w:r>
        <w:t xml:space="preserve"> </w:t>
      </w:r>
    </w:p>
    <w:p w14:paraId="7C5CD7E9" w14:textId="77777777" w:rsidR="00765D75" w:rsidRDefault="00765D75" w:rsidP="00E22BF5">
      <w:r>
        <w:t>Ieder der partijen kan deze samenwerkingsovereenkomst opzeggen tot 6 maanden voor het einde van enig kalenderjaar.</w:t>
      </w:r>
    </w:p>
    <w:p w14:paraId="10D4083F" w14:textId="77777777" w:rsidR="00765D75" w:rsidRDefault="00765D75" w:rsidP="00E22BF5"/>
    <w:p w14:paraId="438E40F1" w14:textId="77777777" w:rsidR="000C6EC8" w:rsidRDefault="000C6EC8" w:rsidP="00E22BF5">
      <w:pPr>
        <w:rPr>
          <w:rFonts w:cs="Arial"/>
          <w:szCs w:val="20"/>
        </w:rPr>
      </w:pPr>
    </w:p>
    <w:sectPr w:rsidR="000C6EC8" w:rsidSect="00B6428A">
      <w:headerReference w:type="default" r:id="rId10"/>
      <w:footerReference w:type="default" r:id="rId11"/>
      <w:footerReference w:type="first" r:id="rId12"/>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5FD2" w14:textId="77777777" w:rsidR="0091212B" w:rsidRDefault="0091212B" w:rsidP="00EA4FC1">
      <w:pPr>
        <w:spacing w:line="240" w:lineRule="auto"/>
      </w:pPr>
      <w:r>
        <w:separator/>
      </w:r>
    </w:p>
  </w:endnote>
  <w:endnote w:type="continuationSeparator" w:id="0">
    <w:p w14:paraId="517CFE36" w14:textId="77777777" w:rsidR="0091212B" w:rsidRDefault="0091212B" w:rsidP="00EA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D00" w14:textId="11214284" w:rsidR="000C6EC8" w:rsidRPr="00B6428A" w:rsidRDefault="00B6428A" w:rsidP="00B6428A">
    <w:pPr>
      <w:tabs>
        <w:tab w:val="right" w:pos="9070"/>
      </w:tabs>
      <w:rPr>
        <w:i/>
        <w:iCs/>
        <w:color w:val="000000" w:themeColor="text1"/>
        <w:sz w:val="16"/>
        <w:szCs w:val="16"/>
      </w:rPr>
    </w:pPr>
    <w:r w:rsidRPr="00B6428A">
      <w:rPr>
        <w:i/>
        <w:iCs/>
        <w:color w:val="000000" w:themeColor="text1"/>
        <w:sz w:val="16"/>
        <w:szCs w:val="16"/>
      </w:rPr>
      <w:t>Samenwerkingsconvenant</w:t>
    </w:r>
    <w:r>
      <w:rPr>
        <w:i/>
        <w:iCs/>
        <w:color w:val="000000" w:themeColor="text1"/>
        <w:sz w:val="16"/>
        <w:szCs w:val="16"/>
      </w:rPr>
      <w:t xml:space="preserve"> </w:t>
    </w:r>
    <w:r w:rsidRPr="00B6428A">
      <w:rPr>
        <w:i/>
        <w:iCs/>
        <w:color w:val="000000" w:themeColor="text1"/>
        <w:sz w:val="16"/>
        <w:szCs w:val="16"/>
      </w:rPr>
      <w:t>‘Afvalbeheerbijdrage voor de recycling van matrassen’</w:t>
    </w:r>
    <w:r>
      <w:rPr>
        <w:i/>
        <w:iCs/>
        <w:color w:val="000000" w:themeColor="text1"/>
        <w:sz w:val="16"/>
        <w:szCs w:val="16"/>
      </w:rPr>
      <w:tab/>
    </w:r>
    <w:sdt>
      <w:sdtPr>
        <w:rPr>
          <w:i/>
          <w:iCs/>
          <w:sz w:val="16"/>
          <w:szCs w:val="16"/>
        </w:rPr>
        <w:id w:val="1855616277"/>
        <w:docPartObj>
          <w:docPartGallery w:val="Page Numbers (Bottom of Page)"/>
          <w:docPartUnique/>
        </w:docPartObj>
      </w:sdtPr>
      <w:sdtEndPr/>
      <w:sdtContent>
        <w:r w:rsidR="000C6EC8" w:rsidRPr="00B6428A">
          <w:rPr>
            <w:i/>
            <w:iCs/>
            <w:sz w:val="16"/>
            <w:szCs w:val="16"/>
          </w:rPr>
          <w:fldChar w:fldCharType="begin"/>
        </w:r>
        <w:r w:rsidR="000C6EC8" w:rsidRPr="00B6428A">
          <w:rPr>
            <w:i/>
            <w:iCs/>
            <w:sz w:val="16"/>
            <w:szCs w:val="16"/>
          </w:rPr>
          <w:instrText>PAGE   \* MERGEFORMAT</w:instrText>
        </w:r>
        <w:r w:rsidR="000C6EC8" w:rsidRPr="00B6428A">
          <w:rPr>
            <w:i/>
            <w:iCs/>
            <w:sz w:val="16"/>
            <w:szCs w:val="16"/>
          </w:rPr>
          <w:fldChar w:fldCharType="separate"/>
        </w:r>
        <w:r w:rsidR="000C6EC8" w:rsidRPr="00B6428A">
          <w:rPr>
            <w:i/>
            <w:iCs/>
            <w:noProof/>
            <w:sz w:val="16"/>
            <w:szCs w:val="16"/>
          </w:rPr>
          <w:t>1</w:t>
        </w:r>
        <w:r w:rsidR="000C6EC8" w:rsidRPr="00B6428A">
          <w:rPr>
            <w:i/>
            <w:iCs/>
            <w:sz w:val="16"/>
            <w:szCs w:val="16"/>
          </w:rPr>
          <w:fldChar w:fldCharType="end"/>
        </w:r>
      </w:sdtContent>
    </w:sdt>
  </w:p>
  <w:p w14:paraId="31C29B9A" w14:textId="77777777" w:rsidR="000C6EC8" w:rsidRDefault="000C6E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69759"/>
      <w:docPartObj>
        <w:docPartGallery w:val="Page Numbers (Bottom of Page)"/>
        <w:docPartUnique/>
      </w:docPartObj>
    </w:sdtPr>
    <w:sdtEndPr/>
    <w:sdtContent>
      <w:p w14:paraId="614EDA96" w14:textId="77777777" w:rsidR="000C6EC8" w:rsidRDefault="000C6EC8">
        <w:pPr>
          <w:pStyle w:val="Voettekst"/>
          <w:jc w:val="right"/>
        </w:pPr>
        <w:r>
          <w:fldChar w:fldCharType="begin"/>
        </w:r>
        <w:r>
          <w:instrText>PAGE   \* MERGEFORMAT</w:instrText>
        </w:r>
        <w:r>
          <w:fldChar w:fldCharType="separate"/>
        </w:r>
        <w:r>
          <w:t>2</w:t>
        </w:r>
        <w:r>
          <w:fldChar w:fldCharType="end"/>
        </w:r>
      </w:p>
    </w:sdtContent>
  </w:sdt>
  <w:p w14:paraId="2924A3EE" w14:textId="77777777" w:rsidR="000C6EC8" w:rsidRDefault="000C6E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66B4" w14:textId="77777777" w:rsidR="0091212B" w:rsidRDefault="0091212B" w:rsidP="00EA4FC1">
      <w:pPr>
        <w:spacing w:line="240" w:lineRule="auto"/>
      </w:pPr>
      <w:r>
        <w:separator/>
      </w:r>
    </w:p>
  </w:footnote>
  <w:footnote w:type="continuationSeparator" w:id="0">
    <w:p w14:paraId="69028C71" w14:textId="77777777" w:rsidR="0091212B" w:rsidRDefault="0091212B" w:rsidP="00EA4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AFDA" w14:textId="7801598E" w:rsidR="00F47E77" w:rsidRDefault="002D14BF">
    <w:pPr>
      <w:pStyle w:val="Koptekst"/>
    </w:pPr>
    <w:r>
      <w:rPr>
        <w:noProof/>
      </w:rPr>
      <w:drawing>
        <wp:anchor distT="0" distB="0" distL="114300" distR="114300" simplePos="0" relativeHeight="251659264" behindDoc="1" locked="0" layoutInCell="1" allowOverlap="1" wp14:anchorId="66D5A04F" wp14:editId="2C73DD21">
          <wp:simplePos x="0" y="0"/>
          <wp:positionH relativeFrom="column">
            <wp:posOffset>0</wp:posOffset>
          </wp:positionH>
          <wp:positionV relativeFrom="paragraph">
            <wp:posOffset>-635</wp:posOffset>
          </wp:positionV>
          <wp:extent cx="1592718" cy="670618"/>
          <wp:effectExtent l="0" t="0" r="762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92718" cy="670618"/>
                  </a:xfrm>
                  <a:prstGeom prst="rect">
                    <a:avLst/>
                  </a:prstGeom>
                </pic:spPr>
              </pic:pic>
            </a:graphicData>
          </a:graphic>
        </wp:anchor>
      </w:drawing>
    </w:r>
  </w:p>
  <w:p w14:paraId="7ADC8248" w14:textId="77777777" w:rsidR="00F47E77" w:rsidRDefault="00F47E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0A342EAD"/>
    <w:multiLevelType w:val="hybridMultilevel"/>
    <w:tmpl w:val="B6883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871AB6"/>
    <w:multiLevelType w:val="hybridMultilevel"/>
    <w:tmpl w:val="D5D257B6"/>
    <w:lvl w:ilvl="0" w:tplc="9E2474EA">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6C7A54"/>
    <w:multiLevelType w:val="hybridMultilevel"/>
    <w:tmpl w:val="5C208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AA3DD1"/>
    <w:multiLevelType w:val="hybridMultilevel"/>
    <w:tmpl w:val="908CAFF2"/>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3AD1352C"/>
    <w:multiLevelType w:val="hybridMultilevel"/>
    <w:tmpl w:val="22F0DCCE"/>
    <w:lvl w:ilvl="0" w:tplc="0308C110">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B34A5"/>
    <w:multiLevelType w:val="hybridMultilevel"/>
    <w:tmpl w:val="1E4A4A8E"/>
    <w:lvl w:ilvl="0" w:tplc="5748BD8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433980"/>
    <w:multiLevelType w:val="hybridMultilevel"/>
    <w:tmpl w:val="3DA40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17050"/>
    <w:multiLevelType w:val="hybridMultilevel"/>
    <w:tmpl w:val="F814D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6"/>
  </w:num>
  <w:num w:numId="5">
    <w:abstractNumId w:val="6"/>
  </w:num>
  <w:num w:numId="6">
    <w:abstractNumId w:val="9"/>
  </w:num>
  <w:num w:numId="7">
    <w:abstractNumId w:val="4"/>
  </w:num>
  <w:num w:numId="8">
    <w:abstractNumId w:val="3"/>
  </w:num>
  <w:num w:numId="9">
    <w:abstractNumId w:val="8"/>
  </w:num>
  <w:num w:numId="10">
    <w:abstractNumId w:val="5"/>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E2"/>
    <w:rsid w:val="00085156"/>
    <w:rsid w:val="000C5D42"/>
    <w:rsid w:val="000C6EC8"/>
    <w:rsid w:val="000D5021"/>
    <w:rsid w:val="00117CA2"/>
    <w:rsid w:val="00120754"/>
    <w:rsid w:val="00133486"/>
    <w:rsid w:val="00135C3A"/>
    <w:rsid w:val="001F39B6"/>
    <w:rsid w:val="002928FF"/>
    <w:rsid w:val="002C5D92"/>
    <w:rsid w:val="002D14BF"/>
    <w:rsid w:val="0030329C"/>
    <w:rsid w:val="003562A5"/>
    <w:rsid w:val="00375070"/>
    <w:rsid w:val="0045137E"/>
    <w:rsid w:val="00470F6B"/>
    <w:rsid w:val="006F6541"/>
    <w:rsid w:val="00725582"/>
    <w:rsid w:val="00732FDA"/>
    <w:rsid w:val="00747439"/>
    <w:rsid w:val="00765D75"/>
    <w:rsid w:val="0079056A"/>
    <w:rsid w:val="008C0A14"/>
    <w:rsid w:val="008E2795"/>
    <w:rsid w:val="0091212B"/>
    <w:rsid w:val="00917D22"/>
    <w:rsid w:val="0092306B"/>
    <w:rsid w:val="0094371C"/>
    <w:rsid w:val="0097446D"/>
    <w:rsid w:val="009D75EA"/>
    <w:rsid w:val="009F0CE2"/>
    <w:rsid w:val="009F414D"/>
    <w:rsid w:val="00A649A0"/>
    <w:rsid w:val="00A65ECC"/>
    <w:rsid w:val="00AC45CD"/>
    <w:rsid w:val="00AD1BF8"/>
    <w:rsid w:val="00B03614"/>
    <w:rsid w:val="00B323E9"/>
    <w:rsid w:val="00B62784"/>
    <w:rsid w:val="00B6428A"/>
    <w:rsid w:val="00BA1392"/>
    <w:rsid w:val="00BC049E"/>
    <w:rsid w:val="00C31D67"/>
    <w:rsid w:val="00C330E5"/>
    <w:rsid w:val="00C55AFE"/>
    <w:rsid w:val="00C5704E"/>
    <w:rsid w:val="00C843CB"/>
    <w:rsid w:val="00CA1F53"/>
    <w:rsid w:val="00D1705B"/>
    <w:rsid w:val="00D32C15"/>
    <w:rsid w:val="00D34D42"/>
    <w:rsid w:val="00D5069B"/>
    <w:rsid w:val="00D64216"/>
    <w:rsid w:val="00D83AE9"/>
    <w:rsid w:val="00D860E3"/>
    <w:rsid w:val="00D8697F"/>
    <w:rsid w:val="00DE3CF3"/>
    <w:rsid w:val="00E22BF5"/>
    <w:rsid w:val="00E55013"/>
    <w:rsid w:val="00E64E8C"/>
    <w:rsid w:val="00EA4FC1"/>
    <w:rsid w:val="00F015A5"/>
    <w:rsid w:val="00F2736B"/>
    <w:rsid w:val="00F37E80"/>
    <w:rsid w:val="00F47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C4495"/>
  <w15:chartTrackingRefBased/>
  <w15:docId w15:val="{B35FF9A0-2A49-468F-9C05-5232420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Koptekst">
    <w:name w:val="header"/>
    <w:basedOn w:val="Standaard"/>
    <w:link w:val="KoptekstChar"/>
    <w:uiPriority w:val="99"/>
    <w:unhideWhenUsed/>
    <w:rsid w:val="00EA4F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4FC1"/>
  </w:style>
  <w:style w:type="paragraph" w:styleId="Voettekst">
    <w:name w:val="footer"/>
    <w:basedOn w:val="Standaard"/>
    <w:link w:val="VoettekstChar"/>
    <w:uiPriority w:val="99"/>
    <w:unhideWhenUsed/>
    <w:rsid w:val="00EA4F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A4FC1"/>
  </w:style>
  <w:style w:type="table" w:customStyle="1" w:styleId="CBMbestuurscirc">
    <w:name w:val="CBM bestuurscirc"/>
    <w:basedOn w:val="Klassieketabel1"/>
    <w:rsid w:val="008E2795"/>
    <w:pPr>
      <w:tabs>
        <w:tab w:val="left" w:pos="357"/>
      </w:tabs>
      <w:spacing w:line="240" w:lineRule="auto"/>
    </w:pPr>
    <w:rPr>
      <w:rFonts w:ascii="Verdana" w:eastAsia="Times New Roman" w:hAnsi="Verdana" w:cs="Times New Roman"/>
      <w:szCs w:val="20"/>
      <w:lang w:eastAsia="nl-NL"/>
    </w:rPr>
    <w:tblPr>
      <w:tblBorders>
        <w:top w:val="none" w:sz="0" w:space="0" w:color="auto"/>
        <w:bottom w:val="single" w:sz="2"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E27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8697F"/>
    <w:rPr>
      <w:b/>
      <w:bCs/>
    </w:rPr>
  </w:style>
  <w:style w:type="table" w:styleId="Tabelraster">
    <w:name w:val="Table Grid"/>
    <w:basedOn w:val="Standaardtabel"/>
    <w:uiPriority w:val="39"/>
    <w:rsid w:val="00D869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65D75"/>
    <w:rPr>
      <w:color w:val="0563C1" w:themeColor="hyperlink"/>
      <w:u w:val="single"/>
    </w:rPr>
  </w:style>
  <w:style w:type="character" w:styleId="Verwijzingopmerking">
    <w:name w:val="annotation reference"/>
    <w:basedOn w:val="Standaardalinea-lettertype"/>
    <w:uiPriority w:val="99"/>
    <w:semiHidden/>
    <w:unhideWhenUsed/>
    <w:rsid w:val="00765D75"/>
    <w:rPr>
      <w:sz w:val="16"/>
      <w:szCs w:val="16"/>
    </w:rPr>
  </w:style>
  <w:style w:type="paragraph" w:styleId="Tekstopmerking">
    <w:name w:val="annotation text"/>
    <w:basedOn w:val="Standaard"/>
    <w:link w:val="TekstopmerkingChar"/>
    <w:uiPriority w:val="99"/>
    <w:unhideWhenUsed/>
    <w:rsid w:val="00765D75"/>
    <w:pPr>
      <w:spacing w:after="160" w:line="240" w:lineRule="auto"/>
    </w:pPr>
    <w:rPr>
      <w:rFonts w:asciiTheme="minorHAnsi" w:hAnsiTheme="minorHAnsi"/>
      <w:szCs w:val="20"/>
    </w:rPr>
  </w:style>
  <w:style w:type="character" w:customStyle="1" w:styleId="TekstopmerkingChar">
    <w:name w:val="Tekst opmerking Char"/>
    <w:basedOn w:val="Standaardalinea-lettertype"/>
    <w:link w:val="Tekstopmerking"/>
    <w:uiPriority w:val="99"/>
    <w:rsid w:val="00765D75"/>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n.nl/app/uploads/2021/12/AVV-Overeenkomst-Matrass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87F9-FE56-48C6-8EEC-53AA6357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1687</Words>
  <Characters>9284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CBM</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Roodenrijs</dc:creator>
  <cp:keywords/>
  <dc:description/>
  <cp:lastModifiedBy>Marleen Pouwels</cp:lastModifiedBy>
  <cp:revision>6</cp:revision>
  <cp:lastPrinted>2022-02-08T15:09:00Z</cp:lastPrinted>
  <dcterms:created xsi:type="dcterms:W3CDTF">2022-02-14T08:45:00Z</dcterms:created>
  <dcterms:modified xsi:type="dcterms:W3CDTF">2022-02-14T09:33:00Z</dcterms:modified>
</cp:coreProperties>
</file>